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20C0" w14:textId="28434DD6" w:rsidR="00DA0A68" w:rsidRPr="00104E94" w:rsidRDefault="002D3D7D" w:rsidP="002D3D7D">
      <w:pPr>
        <w:pStyle w:val="Heading1"/>
      </w:pPr>
      <w:bookmarkStart w:id="0" w:name="_Toc351646170"/>
      <w:bookmarkStart w:id="1" w:name="_Toc130818855"/>
      <w:r w:rsidRPr="00104E94">
        <w:t xml:space="preserve">Item 1 </w:t>
      </w:r>
      <w:r w:rsidRPr="00104E94">
        <w:tab/>
        <w:t>Cover Page</w:t>
      </w:r>
      <w:bookmarkEnd w:id="0"/>
      <w:bookmarkEnd w:id="1"/>
    </w:p>
    <w:p w14:paraId="455B867A" w14:textId="2C69F964" w:rsidR="00CE70D9" w:rsidRPr="00104E94" w:rsidRDefault="00CE70D9">
      <w:pPr>
        <w:jc w:val="center"/>
        <w:rPr>
          <w:sz w:val="56"/>
          <w:szCs w:val="56"/>
        </w:rPr>
      </w:pPr>
    </w:p>
    <w:p w14:paraId="6BD41E85" w14:textId="230F41D5" w:rsidR="00473B1D" w:rsidRPr="00104E94" w:rsidRDefault="00FC5DB5">
      <w:pPr>
        <w:jc w:val="center"/>
        <w:rPr>
          <w:sz w:val="56"/>
          <w:szCs w:val="56"/>
        </w:rPr>
      </w:pPr>
      <w:r w:rsidRPr="00104E94">
        <w:rPr>
          <w:sz w:val="56"/>
          <w:szCs w:val="56"/>
        </w:rPr>
        <w:t>Newman Dignan &amp; Sheer</w:t>
      </w:r>
      <w:r w:rsidR="006E3F6F" w:rsidRPr="00104E94">
        <w:rPr>
          <w:sz w:val="56"/>
          <w:szCs w:val="56"/>
        </w:rPr>
        <w:t>a</w:t>
      </w:r>
      <w:r w:rsidRPr="00104E94">
        <w:rPr>
          <w:sz w:val="56"/>
          <w:szCs w:val="56"/>
        </w:rPr>
        <w:t>r, Inc.</w:t>
      </w:r>
    </w:p>
    <w:p w14:paraId="43A3D618" w14:textId="4835ACE7" w:rsidR="00473B1D" w:rsidRDefault="00473B1D">
      <w:pPr>
        <w:jc w:val="center"/>
        <w:rPr>
          <w:sz w:val="36"/>
          <w:szCs w:val="36"/>
        </w:rPr>
      </w:pPr>
      <w:r w:rsidRPr="00104E94">
        <w:rPr>
          <w:sz w:val="36"/>
          <w:szCs w:val="36"/>
        </w:rPr>
        <w:t xml:space="preserve">SEC Number: 801 – </w:t>
      </w:r>
      <w:r w:rsidR="00FC5DB5" w:rsidRPr="00104E94">
        <w:rPr>
          <w:sz w:val="36"/>
          <w:szCs w:val="36"/>
        </w:rPr>
        <w:t>41412</w:t>
      </w:r>
    </w:p>
    <w:p w14:paraId="44E8BB13" w14:textId="5D10630E" w:rsidR="002D1CD3" w:rsidRPr="00104E94" w:rsidRDefault="002D1CD3">
      <w:pPr>
        <w:jc w:val="center"/>
        <w:rPr>
          <w:sz w:val="36"/>
          <w:szCs w:val="36"/>
        </w:rPr>
      </w:pPr>
      <w:r>
        <w:rPr>
          <w:sz w:val="36"/>
          <w:szCs w:val="36"/>
        </w:rPr>
        <w:t xml:space="preserve">CRD </w:t>
      </w:r>
      <w:r w:rsidR="00625AC8">
        <w:rPr>
          <w:sz w:val="36"/>
          <w:szCs w:val="36"/>
        </w:rPr>
        <w:t xml:space="preserve">Number: </w:t>
      </w:r>
      <w:r>
        <w:rPr>
          <w:sz w:val="36"/>
          <w:szCs w:val="36"/>
        </w:rPr>
        <w:t>107565</w:t>
      </w:r>
    </w:p>
    <w:p w14:paraId="19EDBCC6" w14:textId="138F25AB" w:rsidR="00473B1D" w:rsidRPr="00104E94" w:rsidRDefault="00473B1D">
      <w:pPr>
        <w:jc w:val="center"/>
      </w:pPr>
    </w:p>
    <w:p w14:paraId="506FB0F3" w14:textId="10B6F127" w:rsidR="00473B1D" w:rsidRPr="00104E94" w:rsidRDefault="00762F71">
      <w:pPr>
        <w:jc w:val="center"/>
        <w:rPr>
          <w:bCs/>
          <w:sz w:val="40"/>
        </w:rPr>
      </w:pPr>
      <w:r w:rsidRPr="00104E94">
        <w:rPr>
          <w:bCs/>
          <w:sz w:val="40"/>
        </w:rPr>
        <w:t xml:space="preserve">ADV Part 2A, </w:t>
      </w:r>
      <w:r w:rsidR="00473B1D" w:rsidRPr="00104E94">
        <w:rPr>
          <w:bCs/>
          <w:sz w:val="40"/>
        </w:rPr>
        <w:t>Brochure</w:t>
      </w:r>
    </w:p>
    <w:p w14:paraId="67E43CE2" w14:textId="36F2BE90" w:rsidR="00473B1D" w:rsidRDefault="00473B1D">
      <w:pPr>
        <w:jc w:val="center"/>
        <w:rPr>
          <w:sz w:val="40"/>
          <w:szCs w:val="40"/>
        </w:rPr>
      </w:pPr>
      <w:r w:rsidRPr="00D521F0">
        <w:rPr>
          <w:sz w:val="40"/>
          <w:szCs w:val="40"/>
        </w:rPr>
        <w:t>Dated</w:t>
      </w:r>
      <w:r w:rsidR="00762F71" w:rsidRPr="00D521F0">
        <w:rPr>
          <w:sz w:val="40"/>
          <w:szCs w:val="40"/>
        </w:rPr>
        <w:t>:</w:t>
      </w:r>
      <w:r w:rsidR="0017492F" w:rsidRPr="00D521F0">
        <w:rPr>
          <w:sz w:val="40"/>
          <w:szCs w:val="40"/>
        </w:rPr>
        <w:t xml:space="preserve"> </w:t>
      </w:r>
      <w:r w:rsidR="00CE70D9">
        <w:rPr>
          <w:sz w:val="40"/>
          <w:szCs w:val="40"/>
        </w:rPr>
        <w:t>March</w:t>
      </w:r>
      <w:r w:rsidR="00ED01A7">
        <w:rPr>
          <w:sz w:val="40"/>
          <w:szCs w:val="40"/>
        </w:rPr>
        <w:t xml:space="preserve"> </w:t>
      </w:r>
      <w:r w:rsidR="00C0789E">
        <w:rPr>
          <w:sz w:val="40"/>
          <w:szCs w:val="40"/>
        </w:rPr>
        <w:t>25</w:t>
      </w:r>
      <w:r w:rsidR="00097CA9" w:rsidRPr="00D521F0">
        <w:rPr>
          <w:sz w:val="40"/>
          <w:szCs w:val="40"/>
        </w:rPr>
        <w:t>, 20</w:t>
      </w:r>
      <w:r w:rsidR="00C164CD" w:rsidRPr="00D521F0">
        <w:rPr>
          <w:sz w:val="40"/>
          <w:szCs w:val="40"/>
        </w:rPr>
        <w:t>2</w:t>
      </w:r>
      <w:r w:rsidR="00ED01A7">
        <w:rPr>
          <w:sz w:val="40"/>
          <w:szCs w:val="40"/>
        </w:rPr>
        <w:t>4</w:t>
      </w:r>
    </w:p>
    <w:p w14:paraId="145670A9" w14:textId="248D8A22" w:rsidR="00CE70D9" w:rsidRDefault="00CE70D9">
      <w:pPr>
        <w:jc w:val="center"/>
        <w:rPr>
          <w:sz w:val="40"/>
          <w:szCs w:val="40"/>
        </w:rPr>
      </w:pPr>
    </w:p>
    <w:p w14:paraId="24015915" w14:textId="174DCA20" w:rsidR="00CE70D9" w:rsidRDefault="00CE70D9">
      <w:pPr>
        <w:jc w:val="center"/>
        <w:rPr>
          <w:sz w:val="40"/>
          <w:szCs w:val="40"/>
        </w:rPr>
      </w:pPr>
    </w:p>
    <w:p w14:paraId="252B797C" w14:textId="1E4FF3FC" w:rsidR="00CE70D9" w:rsidRDefault="00DF1F7F">
      <w:pPr>
        <w:jc w:val="center"/>
        <w:rPr>
          <w:sz w:val="40"/>
          <w:szCs w:val="40"/>
        </w:rPr>
      </w:pPr>
      <w:r>
        <w:rPr>
          <w:noProof/>
        </w:rPr>
        <w:drawing>
          <wp:anchor distT="0" distB="0" distL="114300" distR="114300" simplePos="0" relativeHeight="251659264" behindDoc="0" locked="0" layoutInCell="1" allowOverlap="1" wp14:anchorId="6B16DCDC" wp14:editId="3C4FB773">
            <wp:simplePos x="0" y="0"/>
            <wp:positionH relativeFrom="column">
              <wp:posOffset>993967</wp:posOffset>
            </wp:positionH>
            <wp:positionV relativeFrom="paragraph">
              <wp:posOffset>17780</wp:posOffset>
            </wp:positionV>
            <wp:extent cx="4041648" cy="1033272"/>
            <wp:effectExtent l="0" t="0" r="0" b="0"/>
            <wp:wrapNone/>
            <wp:docPr id="952983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83928" name="Picture 1" descr="A blu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41648" cy="10332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CC8C6" w14:textId="27DF445D" w:rsidR="00CE70D9" w:rsidRDefault="00CE70D9">
      <w:pPr>
        <w:jc w:val="center"/>
        <w:rPr>
          <w:sz w:val="40"/>
          <w:szCs w:val="40"/>
        </w:rPr>
      </w:pPr>
    </w:p>
    <w:p w14:paraId="5A4368F6" w14:textId="17B531B6" w:rsidR="00CE70D9" w:rsidRDefault="00CE70D9">
      <w:pPr>
        <w:jc w:val="center"/>
        <w:rPr>
          <w:sz w:val="40"/>
          <w:szCs w:val="40"/>
        </w:rPr>
      </w:pPr>
    </w:p>
    <w:p w14:paraId="6F0C92BF" w14:textId="593377D9" w:rsidR="00CE70D9" w:rsidRDefault="00CE70D9">
      <w:pPr>
        <w:jc w:val="center"/>
        <w:rPr>
          <w:sz w:val="40"/>
          <w:szCs w:val="40"/>
        </w:rPr>
      </w:pPr>
    </w:p>
    <w:p w14:paraId="3122344D" w14:textId="77777777" w:rsidR="00CE70D9" w:rsidRDefault="00CE70D9">
      <w:pPr>
        <w:jc w:val="center"/>
        <w:rPr>
          <w:sz w:val="40"/>
          <w:szCs w:val="40"/>
        </w:rPr>
      </w:pPr>
    </w:p>
    <w:p w14:paraId="04C80D67" w14:textId="707C15F2" w:rsidR="00CE70D9" w:rsidRPr="00104E94" w:rsidRDefault="00CE70D9">
      <w:pPr>
        <w:jc w:val="center"/>
        <w:rPr>
          <w:sz w:val="40"/>
          <w:szCs w:val="40"/>
        </w:rPr>
      </w:pPr>
    </w:p>
    <w:p w14:paraId="3A008571" w14:textId="77549F71" w:rsidR="00473B1D" w:rsidRPr="00104E94" w:rsidRDefault="00473B1D" w:rsidP="003054CA"/>
    <w:p w14:paraId="410C03A3" w14:textId="197934FF" w:rsidR="00473B1D" w:rsidRPr="00104E94" w:rsidRDefault="00473B1D">
      <w:pPr>
        <w:jc w:val="center"/>
        <w:rPr>
          <w:sz w:val="40"/>
          <w:szCs w:val="40"/>
        </w:rPr>
      </w:pPr>
      <w:r w:rsidRPr="00104E94">
        <w:rPr>
          <w:sz w:val="40"/>
          <w:szCs w:val="40"/>
        </w:rPr>
        <w:t xml:space="preserve">Contact: </w:t>
      </w:r>
      <w:r w:rsidR="00D82D6D" w:rsidRPr="00D82D6D">
        <w:rPr>
          <w:sz w:val="40"/>
          <w:szCs w:val="40"/>
        </w:rPr>
        <w:t>Richard Cavanagh</w:t>
      </w:r>
      <w:r w:rsidRPr="00104E94">
        <w:rPr>
          <w:sz w:val="40"/>
          <w:szCs w:val="40"/>
        </w:rPr>
        <w:t>, Chief Compliance Officer</w:t>
      </w:r>
    </w:p>
    <w:p w14:paraId="04F457EA" w14:textId="45456B28" w:rsidR="00473B1D" w:rsidRPr="00104E94" w:rsidRDefault="00ED01A7">
      <w:pPr>
        <w:jc w:val="center"/>
        <w:rPr>
          <w:lang w:val="fr-FR"/>
        </w:rPr>
      </w:pPr>
      <w:r>
        <w:rPr>
          <w:sz w:val="40"/>
          <w:szCs w:val="40"/>
          <w:lang w:val="fr-FR"/>
        </w:rPr>
        <w:t>260 West Exchange Street</w:t>
      </w:r>
      <w:r w:rsidR="00C53FD1" w:rsidRPr="00104E94">
        <w:rPr>
          <w:sz w:val="40"/>
          <w:szCs w:val="40"/>
          <w:lang w:val="fr-FR"/>
        </w:rPr>
        <w:t xml:space="preserve">, Suite </w:t>
      </w:r>
      <w:r>
        <w:rPr>
          <w:sz w:val="40"/>
          <w:szCs w:val="40"/>
          <w:lang w:val="fr-FR"/>
        </w:rPr>
        <w:t>302</w:t>
      </w:r>
    </w:p>
    <w:p w14:paraId="2CDD5B5D" w14:textId="2973D839" w:rsidR="00473B1D" w:rsidRPr="00104E94" w:rsidRDefault="00FC5DB5">
      <w:pPr>
        <w:jc w:val="center"/>
        <w:rPr>
          <w:sz w:val="40"/>
          <w:szCs w:val="56"/>
        </w:rPr>
      </w:pPr>
      <w:r w:rsidRPr="00104E94">
        <w:rPr>
          <w:sz w:val="40"/>
          <w:szCs w:val="56"/>
        </w:rPr>
        <w:t>Providence, Rhode Island</w:t>
      </w:r>
      <w:r w:rsidR="00473B1D" w:rsidRPr="00104E94">
        <w:rPr>
          <w:sz w:val="40"/>
          <w:szCs w:val="56"/>
        </w:rPr>
        <w:t xml:space="preserve"> </w:t>
      </w:r>
      <w:r w:rsidRPr="00104E94">
        <w:rPr>
          <w:sz w:val="40"/>
          <w:szCs w:val="56"/>
        </w:rPr>
        <w:t>02903</w:t>
      </w:r>
    </w:p>
    <w:p w14:paraId="4306D0D5" w14:textId="480E0055" w:rsidR="00473B1D" w:rsidRPr="00104E94" w:rsidRDefault="00473B1D">
      <w:pPr>
        <w:jc w:val="center"/>
        <w:rPr>
          <w:sz w:val="72"/>
          <w:szCs w:val="72"/>
        </w:rPr>
      </w:pPr>
      <w:r w:rsidRPr="00104E94">
        <w:rPr>
          <w:sz w:val="40"/>
          <w:szCs w:val="56"/>
        </w:rPr>
        <w:t>www.</w:t>
      </w:r>
      <w:r w:rsidR="00FC5DB5" w:rsidRPr="00104E94">
        <w:rPr>
          <w:sz w:val="40"/>
          <w:szCs w:val="56"/>
        </w:rPr>
        <w:t>newmandignan</w:t>
      </w:r>
      <w:r w:rsidRPr="00104E94">
        <w:rPr>
          <w:sz w:val="40"/>
          <w:szCs w:val="56"/>
        </w:rPr>
        <w:t>.com</w:t>
      </w:r>
    </w:p>
    <w:p w14:paraId="7786513E" w14:textId="77777777" w:rsidR="00473B1D" w:rsidRPr="00104E94" w:rsidRDefault="00473B1D">
      <w:pPr>
        <w:rPr>
          <w:sz w:val="40"/>
          <w:szCs w:val="40"/>
        </w:rPr>
      </w:pPr>
    </w:p>
    <w:p w14:paraId="76E7BDDE" w14:textId="77777777" w:rsidR="00473B1D" w:rsidRPr="00104E94" w:rsidRDefault="00473B1D">
      <w:pPr>
        <w:rPr>
          <w:sz w:val="40"/>
          <w:szCs w:val="40"/>
          <w:highlight w:val="yellow"/>
        </w:rPr>
      </w:pPr>
    </w:p>
    <w:p w14:paraId="336BE1B7" w14:textId="1F1A52B8" w:rsidR="00473B1D" w:rsidRPr="008F5FD4" w:rsidRDefault="00473B1D">
      <w:pPr>
        <w:jc w:val="both"/>
      </w:pPr>
      <w:r w:rsidRPr="008F5FD4">
        <w:t xml:space="preserve">This </w:t>
      </w:r>
      <w:r w:rsidR="003054CA" w:rsidRPr="008F5FD4">
        <w:t>B</w:t>
      </w:r>
      <w:r w:rsidRPr="008F5FD4">
        <w:t xml:space="preserve">rochure provides information about the qualifications and business practices of </w:t>
      </w:r>
      <w:r w:rsidR="00FC5DB5" w:rsidRPr="008F5FD4">
        <w:t xml:space="preserve">Newman Dignan &amp; </w:t>
      </w:r>
      <w:r w:rsidR="00AA5E66" w:rsidRPr="008F5FD4">
        <w:t>Sheerar</w:t>
      </w:r>
      <w:r w:rsidR="00FC5DB5" w:rsidRPr="008F5FD4">
        <w:t>, Inc.</w:t>
      </w:r>
      <w:r w:rsidRPr="008F5FD4">
        <w:t xml:space="preserve"> If you have any questions about the contents of this </w:t>
      </w:r>
      <w:r w:rsidR="003054CA" w:rsidRPr="008F5FD4">
        <w:t>B</w:t>
      </w:r>
      <w:r w:rsidRPr="008F5FD4">
        <w:t>rochure, please contact us at (</w:t>
      </w:r>
      <w:r w:rsidR="00FC5DB5" w:rsidRPr="008F5FD4">
        <w:t>401</w:t>
      </w:r>
      <w:r w:rsidRPr="008F5FD4">
        <w:t xml:space="preserve">) </w:t>
      </w:r>
      <w:r w:rsidR="00FC5DB5" w:rsidRPr="008F5FD4">
        <w:t>351</w:t>
      </w:r>
      <w:r w:rsidRPr="008F5FD4">
        <w:t>-</w:t>
      </w:r>
      <w:r w:rsidR="00FC5DB5" w:rsidRPr="008F5FD4">
        <w:t>4010</w:t>
      </w:r>
      <w:r w:rsidRPr="008F5FD4">
        <w:t xml:space="preserve"> or </w:t>
      </w:r>
      <w:hyperlink r:id="rId8" w:history="1">
        <w:r w:rsidR="008E780B" w:rsidRPr="003B25D1">
          <w:rPr>
            <w:rStyle w:val="Hyperlink"/>
          </w:rPr>
          <w:t>rich@newmandignan.com</w:t>
        </w:r>
      </w:hyperlink>
      <w:r w:rsidR="008E780B">
        <w:t>.</w:t>
      </w:r>
      <w:r w:rsidR="00AC7F33" w:rsidRPr="008F5FD4">
        <w:t xml:space="preserve"> </w:t>
      </w:r>
      <w:r w:rsidRPr="008F5FD4">
        <w:t xml:space="preserve">The information in this </w:t>
      </w:r>
      <w:r w:rsidR="003054CA" w:rsidRPr="008F5FD4">
        <w:t>B</w:t>
      </w:r>
      <w:r w:rsidRPr="008F5FD4">
        <w:t>rochure has not been approved or verified by the United States Securities and Exchange Commission or by any state securities authority.</w:t>
      </w:r>
    </w:p>
    <w:p w14:paraId="4CBEEAE4" w14:textId="77777777" w:rsidR="00473B1D" w:rsidRPr="008F5FD4" w:rsidRDefault="00473B1D">
      <w:pPr>
        <w:jc w:val="both"/>
      </w:pPr>
    </w:p>
    <w:p w14:paraId="53461C9F" w14:textId="77777777" w:rsidR="00473B1D" w:rsidRPr="008F5FD4" w:rsidRDefault="00473B1D">
      <w:pPr>
        <w:jc w:val="both"/>
      </w:pPr>
      <w:r w:rsidRPr="008F5FD4">
        <w:t xml:space="preserve">Additional information about </w:t>
      </w:r>
      <w:r w:rsidR="00FC5DB5" w:rsidRPr="008F5FD4">
        <w:t xml:space="preserve">Newman Dignan &amp; </w:t>
      </w:r>
      <w:r w:rsidR="00AA5E66" w:rsidRPr="008F5FD4">
        <w:t>Sheerar</w:t>
      </w:r>
      <w:r w:rsidR="00FC5DB5" w:rsidRPr="008F5FD4">
        <w:t xml:space="preserve">, Inc. </w:t>
      </w:r>
      <w:r w:rsidRPr="008F5FD4">
        <w:t>also is available on the SEC</w:t>
      </w:r>
      <w:r w:rsidR="00690BEA" w:rsidRPr="008F5FD4">
        <w:t>’</w:t>
      </w:r>
      <w:r w:rsidRPr="008F5FD4">
        <w:t>s website at www.adviserinfo.sec.gov</w:t>
      </w:r>
      <w:r w:rsidR="002874B3" w:rsidRPr="008F5FD4">
        <w:t>.</w:t>
      </w:r>
    </w:p>
    <w:p w14:paraId="43C4D9E7" w14:textId="77777777" w:rsidR="00CD7C55" w:rsidRPr="008F5FD4" w:rsidRDefault="00CD7C55">
      <w:pPr>
        <w:jc w:val="both"/>
      </w:pPr>
    </w:p>
    <w:p w14:paraId="71E83A19" w14:textId="77777777" w:rsidR="00CD7C55" w:rsidRPr="008F5FD4" w:rsidRDefault="00CD7C55" w:rsidP="00CD7C55">
      <w:pPr>
        <w:jc w:val="both"/>
      </w:pPr>
      <w:r w:rsidRPr="008F5FD4">
        <w:t xml:space="preserve">References herein to Newman Dignan &amp; </w:t>
      </w:r>
      <w:r w:rsidR="00AA5E66" w:rsidRPr="008F5FD4">
        <w:t>Sheerar</w:t>
      </w:r>
      <w:r w:rsidRPr="008F5FD4">
        <w:t xml:space="preserve">, Inc. as a </w:t>
      </w:r>
      <w:r w:rsidR="00690BEA" w:rsidRPr="008F5FD4">
        <w:t>“</w:t>
      </w:r>
      <w:r w:rsidRPr="008F5FD4">
        <w:t>registered investment adviser</w:t>
      </w:r>
      <w:r w:rsidR="00690BEA" w:rsidRPr="008F5FD4">
        <w:t>”</w:t>
      </w:r>
      <w:r w:rsidRPr="008F5FD4">
        <w:t xml:space="preserve"> or any reference to being </w:t>
      </w:r>
      <w:r w:rsidR="00690BEA" w:rsidRPr="008F5FD4">
        <w:t>“</w:t>
      </w:r>
      <w:r w:rsidRPr="008F5FD4">
        <w:t>registered</w:t>
      </w:r>
      <w:r w:rsidR="00690BEA" w:rsidRPr="008F5FD4">
        <w:t>”</w:t>
      </w:r>
      <w:r w:rsidRPr="008F5FD4">
        <w:t xml:space="preserve"> does not imply a certain level of skill or training.</w:t>
      </w:r>
    </w:p>
    <w:p w14:paraId="7509C059" w14:textId="77777777" w:rsidR="00A028E2" w:rsidRPr="00104E94" w:rsidRDefault="00A028E2">
      <w:pPr>
        <w:rPr>
          <w:b/>
          <w:bCs/>
          <w:sz w:val="24"/>
          <w:szCs w:val="28"/>
        </w:rPr>
      </w:pPr>
      <w:bookmarkStart w:id="2" w:name="_Toc273621952"/>
      <w:bookmarkStart w:id="3" w:name="_Toc351646171"/>
    </w:p>
    <w:p w14:paraId="3403BFCD" w14:textId="132CA817" w:rsidR="00CE70D9" w:rsidRDefault="00CE70D9">
      <w:pPr>
        <w:sectPr w:rsidR="00CE70D9" w:rsidSect="00085F3B">
          <w:footerReference w:type="default" r:id="rId9"/>
          <w:pgSz w:w="12240" w:h="15840" w:code="1"/>
          <w:pgMar w:top="540" w:right="1350" w:bottom="1440" w:left="1260" w:header="720" w:footer="540" w:gutter="0"/>
          <w:pgBorders w:offsetFrom="page">
            <w:top w:val="thinThickThinMediumGap" w:sz="24" w:space="24" w:color="BFB599"/>
            <w:left w:val="thinThickThinMediumGap" w:sz="24" w:space="24" w:color="BFB599"/>
            <w:bottom w:val="thinThickThinMediumGap" w:sz="24" w:space="24" w:color="BFB599"/>
            <w:right w:val="thinThickThinMediumGap" w:sz="24" w:space="24" w:color="BFB599"/>
          </w:pgBorders>
          <w:cols w:space="720"/>
          <w:titlePg/>
          <w:docGrid w:linePitch="360"/>
        </w:sectPr>
      </w:pPr>
    </w:p>
    <w:p w14:paraId="12250C7F" w14:textId="2DE46CAB" w:rsidR="00350F09" w:rsidRPr="00104E94" w:rsidRDefault="00350F09">
      <w:pPr>
        <w:rPr>
          <w:b/>
          <w:bCs/>
          <w:sz w:val="24"/>
          <w:szCs w:val="28"/>
        </w:rPr>
      </w:pPr>
    </w:p>
    <w:p w14:paraId="325D28D9" w14:textId="77777777" w:rsidR="00473B1D" w:rsidRPr="00104E94" w:rsidRDefault="00473B1D">
      <w:pPr>
        <w:pStyle w:val="Heading1"/>
      </w:pPr>
      <w:bookmarkStart w:id="4" w:name="_Toc130818856"/>
      <w:r w:rsidRPr="00104E94">
        <w:t>Item 2</w:t>
      </w:r>
      <w:r w:rsidRPr="00104E94">
        <w:tab/>
        <w:t>Material Changes</w:t>
      </w:r>
      <w:bookmarkEnd w:id="2"/>
      <w:bookmarkEnd w:id="3"/>
      <w:bookmarkEnd w:id="4"/>
    </w:p>
    <w:p w14:paraId="3AF4D5F6" w14:textId="77777777" w:rsidR="00C85AA9" w:rsidRDefault="00C85AA9" w:rsidP="003F661F"/>
    <w:p w14:paraId="5DC122FF" w14:textId="77777777" w:rsidR="00C85AA9" w:rsidRPr="00104E94" w:rsidRDefault="00C85AA9" w:rsidP="003F661F"/>
    <w:p w14:paraId="5568684D" w14:textId="44000104" w:rsidR="003F661F" w:rsidRDefault="009F4419" w:rsidP="00690BEA">
      <w:pPr>
        <w:jc w:val="both"/>
      </w:pPr>
      <w:r w:rsidRPr="000547EA">
        <w:t xml:space="preserve">There </w:t>
      </w:r>
      <w:r w:rsidR="007E2397">
        <w:t>has been one</w:t>
      </w:r>
      <w:r w:rsidRPr="000547EA">
        <w:t xml:space="preserve"> material change made to this Form ADV 2A Brochure since the </w:t>
      </w:r>
      <w:r w:rsidR="00C164CD" w:rsidRPr="000547EA">
        <w:t xml:space="preserve">March </w:t>
      </w:r>
      <w:r w:rsidR="007E2397">
        <w:t>2</w:t>
      </w:r>
      <w:r w:rsidR="00ED01A7">
        <w:t>7</w:t>
      </w:r>
      <w:r w:rsidR="00C164CD" w:rsidRPr="000547EA">
        <w:t>, 20</w:t>
      </w:r>
      <w:r w:rsidR="001859B4">
        <w:t>2</w:t>
      </w:r>
      <w:r w:rsidR="00ED01A7">
        <w:t>3</w:t>
      </w:r>
      <w:r w:rsidR="004B4C49" w:rsidRPr="000547EA">
        <w:t xml:space="preserve"> </w:t>
      </w:r>
      <w:r w:rsidRPr="000547EA">
        <w:t xml:space="preserve">annual amendment </w:t>
      </w:r>
      <w:r w:rsidR="004B4C49" w:rsidRPr="000547EA">
        <w:t>filing</w:t>
      </w:r>
      <w:r w:rsidR="007E2397">
        <w:t>:</w:t>
      </w:r>
    </w:p>
    <w:p w14:paraId="475B95DE" w14:textId="1F914AE1" w:rsidR="007E2397" w:rsidRDefault="007E2397" w:rsidP="00690BEA">
      <w:pPr>
        <w:jc w:val="both"/>
      </w:pPr>
    </w:p>
    <w:p w14:paraId="23F25C6D" w14:textId="4F33C862" w:rsidR="007E2397" w:rsidRDefault="007E2397" w:rsidP="00677549">
      <w:pPr>
        <w:pStyle w:val="ListParagraph"/>
        <w:numPr>
          <w:ilvl w:val="0"/>
          <w:numId w:val="33"/>
        </w:numPr>
        <w:jc w:val="both"/>
      </w:pPr>
      <w:r>
        <w:t xml:space="preserve">The Registrant’s </w:t>
      </w:r>
      <w:r w:rsidR="00ED01A7">
        <w:t>primary address has changed to 260 West Exchange Street, Suite 302, Providence, Rhode Island 02903</w:t>
      </w:r>
      <w:r>
        <w:t>.</w:t>
      </w:r>
    </w:p>
    <w:p w14:paraId="21763FBF" w14:textId="77777777" w:rsidR="00B772C4" w:rsidRPr="00104E94" w:rsidRDefault="00B772C4" w:rsidP="00EA1A23">
      <w:pPr>
        <w:jc w:val="both"/>
        <w:rPr>
          <w:szCs w:val="16"/>
        </w:rPr>
      </w:pPr>
      <w:bookmarkStart w:id="5" w:name="_Toc273621953"/>
    </w:p>
    <w:p w14:paraId="507839D5" w14:textId="2C199BBC" w:rsidR="00B772C4" w:rsidRPr="00D01613" w:rsidRDefault="00725C1A" w:rsidP="00EA1A23">
      <w:pPr>
        <w:jc w:val="both"/>
        <w:rPr>
          <w:lang w:val="fr-FR"/>
        </w:rPr>
      </w:pPr>
      <w:r w:rsidRPr="00D01613">
        <w:rPr>
          <w:u w:val="single"/>
        </w:rPr>
        <w:t xml:space="preserve">Newman </w:t>
      </w:r>
      <w:r w:rsidR="00B772C4" w:rsidRPr="00D01613">
        <w:rPr>
          <w:u w:val="single"/>
        </w:rPr>
        <w:t>Dignan &amp; Sheerar, Inc.</w:t>
      </w:r>
      <w:r w:rsidR="00690BEA" w:rsidRPr="00D01613">
        <w:rPr>
          <w:bCs/>
          <w:u w:val="single"/>
        </w:rPr>
        <w:t>’</w:t>
      </w:r>
      <w:r w:rsidR="00B772C4" w:rsidRPr="00D01613">
        <w:rPr>
          <w:bCs/>
          <w:u w:val="single"/>
        </w:rPr>
        <w:t xml:space="preserve">s Chief Compliance Officer, </w:t>
      </w:r>
      <w:r w:rsidR="00D82D6D" w:rsidRPr="00D82D6D">
        <w:rPr>
          <w:bCs/>
          <w:u w:val="single"/>
        </w:rPr>
        <w:t>Richard Cavanagh</w:t>
      </w:r>
      <w:r w:rsidR="00B772C4" w:rsidRPr="00D01613">
        <w:rPr>
          <w:bCs/>
          <w:u w:val="single"/>
        </w:rPr>
        <w:t xml:space="preserve">, remains available to address any </w:t>
      </w:r>
      <w:r w:rsidR="008F5FD4">
        <w:rPr>
          <w:bCs/>
          <w:u w:val="single"/>
        </w:rPr>
        <w:t>questions about this Brochure</w:t>
      </w:r>
      <w:r w:rsidR="0088699D" w:rsidRPr="00D01613">
        <w:rPr>
          <w:bCs/>
          <w:u w:val="single"/>
        </w:rPr>
        <w:t>.</w:t>
      </w:r>
    </w:p>
    <w:p w14:paraId="2F4F8A1B" w14:textId="77777777" w:rsidR="00473B1D" w:rsidRPr="00104E94" w:rsidRDefault="00473B1D">
      <w:pPr>
        <w:pStyle w:val="Heading1"/>
      </w:pPr>
      <w:bookmarkStart w:id="6" w:name="_Toc351646172"/>
      <w:bookmarkStart w:id="7" w:name="_Toc130818857"/>
      <w:r w:rsidRPr="00104E94">
        <w:t>Item 3</w:t>
      </w:r>
      <w:bookmarkEnd w:id="5"/>
      <w:r w:rsidR="00915120" w:rsidRPr="00104E94">
        <w:tab/>
      </w:r>
      <w:r w:rsidRPr="00104E94">
        <w:t>Table of Contents</w:t>
      </w:r>
      <w:bookmarkEnd w:id="6"/>
      <w:bookmarkEnd w:id="7"/>
    </w:p>
    <w:p w14:paraId="1971EC9A" w14:textId="77777777" w:rsidR="00473B1D" w:rsidRPr="00104E94" w:rsidRDefault="00473B1D"/>
    <w:p w14:paraId="2758D82B" w14:textId="6E4CE8F5" w:rsidR="00727004" w:rsidRDefault="0050017C" w:rsidP="00C0789E">
      <w:pPr>
        <w:pStyle w:val="TOC1"/>
        <w:rPr>
          <w:rFonts w:asciiTheme="minorHAnsi" w:eastAsiaTheme="minorEastAsia" w:hAnsiTheme="minorHAnsi" w:cstheme="minorBidi"/>
          <w:noProof/>
        </w:rPr>
      </w:pPr>
      <w:r w:rsidRPr="00104E94">
        <w:rPr>
          <w:highlight w:val="yellow"/>
        </w:rPr>
        <w:fldChar w:fldCharType="begin"/>
      </w:r>
      <w:r w:rsidR="00C4348C" w:rsidRPr="00104E94">
        <w:rPr>
          <w:highlight w:val="yellow"/>
        </w:rPr>
        <w:instrText xml:space="preserve"> TOC \o "1-1" \h \z \u </w:instrText>
      </w:r>
      <w:r w:rsidRPr="00104E94">
        <w:rPr>
          <w:highlight w:val="yellow"/>
        </w:rPr>
        <w:fldChar w:fldCharType="separate"/>
      </w:r>
      <w:hyperlink w:anchor="_Toc130818855" w:history="1">
        <w:r w:rsidR="00727004" w:rsidRPr="00311707">
          <w:rPr>
            <w:rStyle w:val="Hyperlink"/>
            <w:noProof/>
          </w:rPr>
          <w:t xml:space="preserve">Item 1 </w:t>
        </w:r>
        <w:r w:rsidR="00727004">
          <w:rPr>
            <w:rFonts w:asciiTheme="minorHAnsi" w:eastAsiaTheme="minorEastAsia" w:hAnsiTheme="minorHAnsi" w:cstheme="minorBidi"/>
            <w:noProof/>
          </w:rPr>
          <w:tab/>
        </w:r>
        <w:r w:rsidR="00727004" w:rsidRPr="00311707">
          <w:rPr>
            <w:rStyle w:val="Hyperlink"/>
            <w:noProof/>
          </w:rPr>
          <w:t>Cover Page</w:t>
        </w:r>
        <w:r w:rsidR="00727004">
          <w:rPr>
            <w:noProof/>
            <w:webHidden/>
          </w:rPr>
          <w:tab/>
        </w:r>
        <w:r w:rsidR="00727004">
          <w:rPr>
            <w:noProof/>
            <w:webHidden/>
          </w:rPr>
          <w:fldChar w:fldCharType="begin"/>
        </w:r>
        <w:r w:rsidR="00727004">
          <w:rPr>
            <w:noProof/>
            <w:webHidden/>
          </w:rPr>
          <w:instrText xml:space="preserve"> PAGEREF _Toc130818855 \h </w:instrText>
        </w:r>
        <w:r w:rsidR="00727004">
          <w:rPr>
            <w:noProof/>
            <w:webHidden/>
          </w:rPr>
        </w:r>
        <w:r w:rsidR="00727004">
          <w:rPr>
            <w:noProof/>
            <w:webHidden/>
          </w:rPr>
          <w:fldChar w:fldCharType="separate"/>
        </w:r>
        <w:r w:rsidR="00C0789E">
          <w:rPr>
            <w:noProof/>
            <w:webHidden/>
          </w:rPr>
          <w:t>1</w:t>
        </w:r>
        <w:r w:rsidR="00727004">
          <w:rPr>
            <w:noProof/>
            <w:webHidden/>
          </w:rPr>
          <w:fldChar w:fldCharType="end"/>
        </w:r>
      </w:hyperlink>
    </w:p>
    <w:p w14:paraId="1669A5CB" w14:textId="290E6AB5" w:rsidR="00727004" w:rsidRDefault="006A50FC" w:rsidP="00C0789E">
      <w:pPr>
        <w:pStyle w:val="TOC1"/>
        <w:rPr>
          <w:rFonts w:asciiTheme="minorHAnsi" w:eastAsiaTheme="minorEastAsia" w:hAnsiTheme="minorHAnsi" w:cstheme="minorBidi"/>
          <w:noProof/>
        </w:rPr>
      </w:pPr>
      <w:hyperlink w:anchor="_Toc130818856" w:history="1">
        <w:r w:rsidR="00727004" w:rsidRPr="00311707">
          <w:rPr>
            <w:rStyle w:val="Hyperlink"/>
            <w:noProof/>
          </w:rPr>
          <w:t>Item 2</w:t>
        </w:r>
        <w:r w:rsidR="00727004">
          <w:rPr>
            <w:rFonts w:asciiTheme="minorHAnsi" w:eastAsiaTheme="minorEastAsia" w:hAnsiTheme="minorHAnsi" w:cstheme="minorBidi"/>
            <w:noProof/>
          </w:rPr>
          <w:tab/>
        </w:r>
        <w:r w:rsidR="00727004" w:rsidRPr="00311707">
          <w:rPr>
            <w:rStyle w:val="Hyperlink"/>
            <w:noProof/>
          </w:rPr>
          <w:t>Material Changes</w:t>
        </w:r>
        <w:r w:rsidR="00727004">
          <w:rPr>
            <w:noProof/>
            <w:webHidden/>
          </w:rPr>
          <w:tab/>
        </w:r>
        <w:r w:rsidR="00727004">
          <w:rPr>
            <w:noProof/>
            <w:webHidden/>
          </w:rPr>
          <w:fldChar w:fldCharType="begin"/>
        </w:r>
        <w:r w:rsidR="00727004">
          <w:rPr>
            <w:noProof/>
            <w:webHidden/>
          </w:rPr>
          <w:instrText xml:space="preserve"> PAGEREF _Toc130818856 \h </w:instrText>
        </w:r>
        <w:r w:rsidR="00727004">
          <w:rPr>
            <w:noProof/>
            <w:webHidden/>
          </w:rPr>
        </w:r>
        <w:r w:rsidR="00727004">
          <w:rPr>
            <w:noProof/>
            <w:webHidden/>
          </w:rPr>
          <w:fldChar w:fldCharType="separate"/>
        </w:r>
        <w:r w:rsidR="00C0789E">
          <w:rPr>
            <w:noProof/>
            <w:webHidden/>
          </w:rPr>
          <w:t>2</w:t>
        </w:r>
        <w:r w:rsidR="00727004">
          <w:rPr>
            <w:noProof/>
            <w:webHidden/>
          </w:rPr>
          <w:fldChar w:fldCharType="end"/>
        </w:r>
      </w:hyperlink>
    </w:p>
    <w:p w14:paraId="6E0A0AC0" w14:textId="57F18B98" w:rsidR="00727004" w:rsidRDefault="006A50FC" w:rsidP="00C0789E">
      <w:pPr>
        <w:pStyle w:val="TOC1"/>
        <w:rPr>
          <w:rFonts w:asciiTheme="minorHAnsi" w:eastAsiaTheme="minorEastAsia" w:hAnsiTheme="minorHAnsi" w:cstheme="minorBidi"/>
          <w:noProof/>
        </w:rPr>
      </w:pPr>
      <w:hyperlink w:anchor="_Toc130818857" w:history="1">
        <w:r w:rsidR="00727004" w:rsidRPr="00311707">
          <w:rPr>
            <w:rStyle w:val="Hyperlink"/>
            <w:noProof/>
          </w:rPr>
          <w:t>Item 3</w:t>
        </w:r>
        <w:r w:rsidR="00727004">
          <w:rPr>
            <w:rFonts w:asciiTheme="minorHAnsi" w:eastAsiaTheme="minorEastAsia" w:hAnsiTheme="minorHAnsi" w:cstheme="minorBidi"/>
            <w:noProof/>
          </w:rPr>
          <w:tab/>
        </w:r>
        <w:r w:rsidR="00727004" w:rsidRPr="00311707">
          <w:rPr>
            <w:rStyle w:val="Hyperlink"/>
            <w:noProof/>
          </w:rPr>
          <w:t>Table of Contents</w:t>
        </w:r>
        <w:r w:rsidR="00727004">
          <w:rPr>
            <w:noProof/>
            <w:webHidden/>
          </w:rPr>
          <w:tab/>
        </w:r>
        <w:r w:rsidR="00727004">
          <w:rPr>
            <w:noProof/>
            <w:webHidden/>
          </w:rPr>
          <w:fldChar w:fldCharType="begin"/>
        </w:r>
        <w:r w:rsidR="00727004">
          <w:rPr>
            <w:noProof/>
            <w:webHidden/>
          </w:rPr>
          <w:instrText xml:space="preserve"> PAGEREF _Toc130818857 \h </w:instrText>
        </w:r>
        <w:r w:rsidR="00727004">
          <w:rPr>
            <w:noProof/>
            <w:webHidden/>
          </w:rPr>
        </w:r>
        <w:r w:rsidR="00727004">
          <w:rPr>
            <w:noProof/>
            <w:webHidden/>
          </w:rPr>
          <w:fldChar w:fldCharType="separate"/>
        </w:r>
        <w:r w:rsidR="00C0789E">
          <w:rPr>
            <w:noProof/>
            <w:webHidden/>
          </w:rPr>
          <w:t>2</w:t>
        </w:r>
        <w:r w:rsidR="00727004">
          <w:rPr>
            <w:noProof/>
            <w:webHidden/>
          </w:rPr>
          <w:fldChar w:fldCharType="end"/>
        </w:r>
      </w:hyperlink>
    </w:p>
    <w:p w14:paraId="124B55D3" w14:textId="321165CB" w:rsidR="00727004" w:rsidRDefault="006A50FC" w:rsidP="00C0789E">
      <w:pPr>
        <w:pStyle w:val="TOC1"/>
        <w:rPr>
          <w:rFonts w:asciiTheme="minorHAnsi" w:eastAsiaTheme="minorEastAsia" w:hAnsiTheme="minorHAnsi" w:cstheme="minorBidi"/>
          <w:noProof/>
        </w:rPr>
      </w:pPr>
      <w:hyperlink w:anchor="_Toc130818858" w:history="1">
        <w:r w:rsidR="00727004" w:rsidRPr="00311707">
          <w:rPr>
            <w:rStyle w:val="Hyperlink"/>
            <w:noProof/>
          </w:rPr>
          <w:t>Item 4</w:t>
        </w:r>
        <w:r w:rsidR="00727004">
          <w:rPr>
            <w:rFonts w:asciiTheme="minorHAnsi" w:eastAsiaTheme="minorEastAsia" w:hAnsiTheme="minorHAnsi" w:cstheme="minorBidi"/>
            <w:noProof/>
          </w:rPr>
          <w:tab/>
        </w:r>
        <w:r w:rsidR="00727004" w:rsidRPr="00311707">
          <w:rPr>
            <w:rStyle w:val="Hyperlink"/>
            <w:noProof/>
          </w:rPr>
          <w:t>Advisory Business</w:t>
        </w:r>
        <w:r w:rsidR="00727004">
          <w:rPr>
            <w:noProof/>
            <w:webHidden/>
          </w:rPr>
          <w:tab/>
        </w:r>
        <w:r w:rsidR="00727004">
          <w:rPr>
            <w:noProof/>
            <w:webHidden/>
          </w:rPr>
          <w:fldChar w:fldCharType="begin"/>
        </w:r>
        <w:r w:rsidR="00727004">
          <w:rPr>
            <w:noProof/>
            <w:webHidden/>
          </w:rPr>
          <w:instrText xml:space="preserve"> PAGEREF _Toc130818858 \h </w:instrText>
        </w:r>
        <w:r w:rsidR="00727004">
          <w:rPr>
            <w:noProof/>
            <w:webHidden/>
          </w:rPr>
        </w:r>
        <w:r w:rsidR="00727004">
          <w:rPr>
            <w:noProof/>
            <w:webHidden/>
          </w:rPr>
          <w:fldChar w:fldCharType="separate"/>
        </w:r>
        <w:r w:rsidR="00C0789E">
          <w:rPr>
            <w:noProof/>
            <w:webHidden/>
          </w:rPr>
          <w:t>3</w:t>
        </w:r>
        <w:r w:rsidR="00727004">
          <w:rPr>
            <w:noProof/>
            <w:webHidden/>
          </w:rPr>
          <w:fldChar w:fldCharType="end"/>
        </w:r>
      </w:hyperlink>
    </w:p>
    <w:p w14:paraId="6F282CAF" w14:textId="2C5752A3" w:rsidR="00727004" w:rsidRDefault="006A50FC" w:rsidP="00C0789E">
      <w:pPr>
        <w:pStyle w:val="TOC1"/>
        <w:rPr>
          <w:rFonts w:asciiTheme="minorHAnsi" w:eastAsiaTheme="minorEastAsia" w:hAnsiTheme="minorHAnsi" w:cstheme="minorBidi"/>
          <w:noProof/>
        </w:rPr>
      </w:pPr>
      <w:hyperlink w:anchor="_Toc130818859" w:history="1">
        <w:r w:rsidR="00727004" w:rsidRPr="00311707">
          <w:rPr>
            <w:rStyle w:val="Hyperlink"/>
            <w:noProof/>
          </w:rPr>
          <w:t>Item 5</w:t>
        </w:r>
        <w:r w:rsidR="00727004">
          <w:rPr>
            <w:rFonts w:asciiTheme="minorHAnsi" w:eastAsiaTheme="minorEastAsia" w:hAnsiTheme="minorHAnsi" w:cstheme="minorBidi"/>
            <w:noProof/>
          </w:rPr>
          <w:tab/>
        </w:r>
        <w:r w:rsidR="00727004" w:rsidRPr="00311707">
          <w:rPr>
            <w:rStyle w:val="Hyperlink"/>
            <w:noProof/>
          </w:rPr>
          <w:t>Fees and Compensation</w:t>
        </w:r>
        <w:r w:rsidR="00727004">
          <w:rPr>
            <w:noProof/>
            <w:webHidden/>
          </w:rPr>
          <w:tab/>
        </w:r>
        <w:r w:rsidR="00727004">
          <w:rPr>
            <w:noProof/>
            <w:webHidden/>
          </w:rPr>
          <w:fldChar w:fldCharType="begin"/>
        </w:r>
        <w:r w:rsidR="00727004">
          <w:rPr>
            <w:noProof/>
            <w:webHidden/>
          </w:rPr>
          <w:instrText xml:space="preserve"> PAGEREF _Toc130818859 \h </w:instrText>
        </w:r>
        <w:r w:rsidR="00727004">
          <w:rPr>
            <w:noProof/>
            <w:webHidden/>
          </w:rPr>
        </w:r>
        <w:r w:rsidR="00727004">
          <w:rPr>
            <w:noProof/>
            <w:webHidden/>
          </w:rPr>
          <w:fldChar w:fldCharType="separate"/>
        </w:r>
        <w:r w:rsidR="00C0789E">
          <w:rPr>
            <w:noProof/>
            <w:webHidden/>
          </w:rPr>
          <w:t>9</w:t>
        </w:r>
        <w:r w:rsidR="00727004">
          <w:rPr>
            <w:noProof/>
            <w:webHidden/>
          </w:rPr>
          <w:fldChar w:fldCharType="end"/>
        </w:r>
      </w:hyperlink>
    </w:p>
    <w:p w14:paraId="734715C8" w14:textId="76A49319" w:rsidR="00727004" w:rsidRDefault="006A50FC" w:rsidP="00C0789E">
      <w:pPr>
        <w:pStyle w:val="TOC1"/>
        <w:rPr>
          <w:rFonts w:asciiTheme="minorHAnsi" w:eastAsiaTheme="minorEastAsia" w:hAnsiTheme="minorHAnsi" w:cstheme="minorBidi"/>
          <w:noProof/>
        </w:rPr>
      </w:pPr>
      <w:hyperlink w:anchor="_Toc130818860" w:history="1">
        <w:r w:rsidR="00727004" w:rsidRPr="00311707">
          <w:rPr>
            <w:rStyle w:val="Hyperlink"/>
            <w:noProof/>
          </w:rPr>
          <w:t>Item 6</w:t>
        </w:r>
        <w:r w:rsidR="00727004">
          <w:rPr>
            <w:rFonts w:asciiTheme="minorHAnsi" w:eastAsiaTheme="minorEastAsia" w:hAnsiTheme="minorHAnsi" w:cstheme="minorBidi"/>
            <w:noProof/>
          </w:rPr>
          <w:tab/>
        </w:r>
        <w:r w:rsidR="00727004" w:rsidRPr="00311707">
          <w:rPr>
            <w:rStyle w:val="Hyperlink"/>
            <w:noProof/>
          </w:rPr>
          <w:t>Performance-Based Fees and Side-by-Side Management</w:t>
        </w:r>
        <w:r w:rsidR="00727004">
          <w:rPr>
            <w:noProof/>
            <w:webHidden/>
          </w:rPr>
          <w:tab/>
        </w:r>
        <w:r w:rsidR="00727004">
          <w:rPr>
            <w:noProof/>
            <w:webHidden/>
          </w:rPr>
          <w:fldChar w:fldCharType="begin"/>
        </w:r>
        <w:r w:rsidR="00727004">
          <w:rPr>
            <w:noProof/>
            <w:webHidden/>
          </w:rPr>
          <w:instrText xml:space="preserve"> PAGEREF _Toc130818860 \h </w:instrText>
        </w:r>
        <w:r w:rsidR="00727004">
          <w:rPr>
            <w:noProof/>
            <w:webHidden/>
          </w:rPr>
        </w:r>
        <w:r w:rsidR="00727004">
          <w:rPr>
            <w:noProof/>
            <w:webHidden/>
          </w:rPr>
          <w:fldChar w:fldCharType="separate"/>
        </w:r>
        <w:r w:rsidR="00C0789E">
          <w:rPr>
            <w:noProof/>
            <w:webHidden/>
          </w:rPr>
          <w:t>11</w:t>
        </w:r>
        <w:r w:rsidR="00727004">
          <w:rPr>
            <w:noProof/>
            <w:webHidden/>
          </w:rPr>
          <w:fldChar w:fldCharType="end"/>
        </w:r>
      </w:hyperlink>
    </w:p>
    <w:p w14:paraId="091B7C31" w14:textId="41F7C840" w:rsidR="00727004" w:rsidRDefault="006A50FC" w:rsidP="00C0789E">
      <w:pPr>
        <w:pStyle w:val="TOC1"/>
        <w:rPr>
          <w:rFonts w:asciiTheme="minorHAnsi" w:eastAsiaTheme="minorEastAsia" w:hAnsiTheme="minorHAnsi" w:cstheme="minorBidi"/>
          <w:noProof/>
        </w:rPr>
      </w:pPr>
      <w:hyperlink w:anchor="_Toc130818861" w:history="1">
        <w:r w:rsidR="00727004" w:rsidRPr="00311707">
          <w:rPr>
            <w:rStyle w:val="Hyperlink"/>
            <w:noProof/>
          </w:rPr>
          <w:t>Item 7</w:t>
        </w:r>
        <w:r w:rsidR="00727004">
          <w:rPr>
            <w:rFonts w:asciiTheme="minorHAnsi" w:eastAsiaTheme="minorEastAsia" w:hAnsiTheme="minorHAnsi" w:cstheme="minorBidi"/>
            <w:noProof/>
          </w:rPr>
          <w:tab/>
        </w:r>
        <w:r w:rsidR="00727004" w:rsidRPr="00311707">
          <w:rPr>
            <w:rStyle w:val="Hyperlink"/>
            <w:noProof/>
          </w:rPr>
          <w:t>Types of Clients</w:t>
        </w:r>
        <w:r w:rsidR="00727004">
          <w:rPr>
            <w:noProof/>
            <w:webHidden/>
          </w:rPr>
          <w:tab/>
        </w:r>
        <w:r w:rsidR="00727004">
          <w:rPr>
            <w:noProof/>
            <w:webHidden/>
          </w:rPr>
          <w:fldChar w:fldCharType="begin"/>
        </w:r>
        <w:r w:rsidR="00727004">
          <w:rPr>
            <w:noProof/>
            <w:webHidden/>
          </w:rPr>
          <w:instrText xml:space="preserve"> PAGEREF _Toc130818861 \h </w:instrText>
        </w:r>
        <w:r w:rsidR="00727004">
          <w:rPr>
            <w:noProof/>
            <w:webHidden/>
          </w:rPr>
        </w:r>
        <w:r w:rsidR="00727004">
          <w:rPr>
            <w:noProof/>
            <w:webHidden/>
          </w:rPr>
          <w:fldChar w:fldCharType="separate"/>
        </w:r>
        <w:r w:rsidR="00C0789E">
          <w:rPr>
            <w:noProof/>
            <w:webHidden/>
          </w:rPr>
          <w:t>11</w:t>
        </w:r>
        <w:r w:rsidR="00727004">
          <w:rPr>
            <w:noProof/>
            <w:webHidden/>
          </w:rPr>
          <w:fldChar w:fldCharType="end"/>
        </w:r>
      </w:hyperlink>
    </w:p>
    <w:p w14:paraId="7E7811E1" w14:textId="365FD97D" w:rsidR="00727004" w:rsidRDefault="006A50FC" w:rsidP="00C0789E">
      <w:pPr>
        <w:pStyle w:val="TOC1"/>
        <w:rPr>
          <w:rFonts w:asciiTheme="minorHAnsi" w:eastAsiaTheme="minorEastAsia" w:hAnsiTheme="minorHAnsi" w:cstheme="minorBidi"/>
          <w:noProof/>
        </w:rPr>
      </w:pPr>
      <w:hyperlink w:anchor="_Toc130818862" w:history="1">
        <w:r w:rsidR="00727004" w:rsidRPr="00311707">
          <w:rPr>
            <w:rStyle w:val="Hyperlink"/>
            <w:noProof/>
          </w:rPr>
          <w:t>Item 8</w:t>
        </w:r>
        <w:r w:rsidR="00727004">
          <w:rPr>
            <w:rFonts w:asciiTheme="minorHAnsi" w:eastAsiaTheme="minorEastAsia" w:hAnsiTheme="minorHAnsi" w:cstheme="minorBidi"/>
            <w:noProof/>
          </w:rPr>
          <w:tab/>
        </w:r>
        <w:r w:rsidR="00727004" w:rsidRPr="00311707">
          <w:rPr>
            <w:rStyle w:val="Hyperlink"/>
            <w:noProof/>
          </w:rPr>
          <w:t>Methods of Analysis, Investment Strategies and Risk of Loss</w:t>
        </w:r>
        <w:r w:rsidR="00727004">
          <w:rPr>
            <w:noProof/>
            <w:webHidden/>
          </w:rPr>
          <w:tab/>
        </w:r>
        <w:r w:rsidR="00727004">
          <w:rPr>
            <w:noProof/>
            <w:webHidden/>
          </w:rPr>
          <w:fldChar w:fldCharType="begin"/>
        </w:r>
        <w:r w:rsidR="00727004">
          <w:rPr>
            <w:noProof/>
            <w:webHidden/>
          </w:rPr>
          <w:instrText xml:space="preserve"> PAGEREF _Toc130818862 \h </w:instrText>
        </w:r>
        <w:r w:rsidR="00727004">
          <w:rPr>
            <w:noProof/>
            <w:webHidden/>
          </w:rPr>
        </w:r>
        <w:r w:rsidR="00727004">
          <w:rPr>
            <w:noProof/>
            <w:webHidden/>
          </w:rPr>
          <w:fldChar w:fldCharType="separate"/>
        </w:r>
        <w:r w:rsidR="00C0789E">
          <w:rPr>
            <w:noProof/>
            <w:webHidden/>
          </w:rPr>
          <w:t>12</w:t>
        </w:r>
        <w:r w:rsidR="00727004">
          <w:rPr>
            <w:noProof/>
            <w:webHidden/>
          </w:rPr>
          <w:fldChar w:fldCharType="end"/>
        </w:r>
      </w:hyperlink>
    </w:p>
    <w:p w14:paraId="5F52D9C6" w14:textId="00DC0E29" w:rsidR="00727004" w:rsidRDefault="006A50FC" w:rsidP="00C0789E">
      <w:pPr>
        <w:pStyle w:val="TOC1"/>
        <w:rPr>
          <w:rFonts w:asciiTheme="minorHAnsi" w:eastAsiaTheme="minorEastAsia" w:hAnsiTheme="minorHAnsi" w:cstheme="minorBidi"/>
          <w:noProof/>
        </w:rPr>
      </w:pPr>
      <w:hyperlink w:anchor="_Toc130818863" w:history="1">
        <w:r w:rsidR="00727004" w:rsidRPr="00311707">
          <w:rPr>
            <w:rStyle w:val="Hyperlink"/>
            <w:noProof/>
          </w:rPr>
          <w:t>Item 9</w:t>
        </w:r>
        <w:r w:rsidR="00727004">
          <w:rPr>
            <w:rFonts w:asciiTheme="minorHAnsi" w:eastAsiaTheme="minorEastAsia" w:hAnsiTheme="minorHAnsi" w:cstheme="minorBidi"/>
            <w:noProof/>
          </w:rPr>
          <w:tab/>
        </w:r>
        <w:r w:rsidR="00727004" w:rsidRPr="00311707">
          <w:rPr>
            <w:rStyle w:val="Hyperlink"/>
            <w:noProof/>
          </w:rPr>
          <w:t>Disciplinary Information</w:t>
        </w:r>
        <w:r w:rsidR="00727004">
          <w:rPr>
            <w:noProof/>
            <w:webHidden/>
          </w:rPr>
          <w:tab/>
        </w:r>
        <w:r w:rsidR="00727004">
          <w:rPr>
            <w:noProof/>
            <w:webHidden/>
          </w:rPr>
          <w:fldChar w:fldCharType="begin"/>
        </w:r>
        <w:r w:rsidR="00727004">
          <w:rPr>
            <w:noProof/>
            <w:webHidden/>
          </w:rPr>
          <w:instrText xml:space="preserve"> PAGEREF _Toc130818863 \h </w:instrText>
        </w:r>
        <w:r w:rsidR="00727004">
          <w:rPr>
            <w:noProof/>
            <w:webHidden/>
          </w:rPr>
        </w:r>
        <w:r w:rsidR="00727004">
          <w:rPr>
            <w:noProof/>
            <w:webHidden/>
          </w:rPr>
          <w:fldChar w:fldCharType="separate"/>
        </w:r>
        <w:r w:rsidR="00C0789E">
          <w:rPr>
            <w:noProof/>
            <w:webHidden/>
          </w:rPr>
          <w:t>17</w:t>
        </w:r>
        <w:r w:rsidR="00727004">
          <w:rPr>
            <w:noProof/>
            <w:webHidden/>
          </w:rPr>
          <w:fldChar w:fldCharType="end"/>
        </w:r>
      </w:hyperlink>
    </w:p>
    <w:p w14:paraId="087976A5" w14:textId="504079C8" w:rsidR="00727004" w:rsidRDefault="006A50FC" w:rsidP="00C0789E">
      <w:pPr>
        <w:pStyle w:val="TOC1"/>
        <w:rPr>
          <w:rFonts w:asciiTheme="minorHAnsi" w:eastAsiaTheme="minorEastAsia" w:hAnsiTheme="minorHAnsi" w:cstheme="minorBidi"/>
          <w:noProof/>
        </w:rPr>
      </w:pPr>
      <w:hyperlink w:anchor="_Toc130818864" w:history="1">
        <w:r w:rsidR="00727004" w:rsidRPr="00311707">
          <w:rPr>
            <w:rStyle w:val="Hyperlink"/>
            <w:noProof/>
          </w:rPr>
          <w:t>Item 10</w:t>
        </w:r>
        <w:r w:rsidR="00727004">
          <w:rPr>
            <w:rFonts w:asciiTheme="minorHAnsi" w:eastAsiaTheme="minorEastAsia" w:hAnsiTheme="minorHAnsi" w:cstheme="minorBidi"/>
            <w:noProof/>
          </w:rPr>
          <w:tab/>
        </w:r>
        <w:r w:rsidR="00727004" w:rsidRPr="00311707">
          <w:rPr>
            <w:rStyle w:val="Hyperlink"/>
            <w:noProof/>
          </w:rPr>
          <w:t>Other Financial Industry Activities and Affiliations</w:t>
        </w:r>
        <w:r w:rsidR="00727004">
          <w:rPr>
            <w:noProof/>
            <w:webHidden/>
          </w:rPr>
          <w:tab/>
        </w:r>
        <w:r w:rsidR="00727004">
          <w:rPr>
            <w:noProof/>
            <w:webHidden/>
          </w:rPr>
          <w:fldChar w:fldCharType="begin"/>
        </w:r>
        <w:r w:rsidR="00727004">
          <w:rPr>
            <w:noProof/>
            <w:webHidden/>
          </w:rPr>
          <w:instrText xml:space="preserve"> PAGEREF _Toc130818864 \h </w:instrText>
        </w:r>
        <w:r w:rsidR="00727004">
          <w:rPr>
            <w:noProof/>
            <w:webHidden/>
          </w:rPr>
        </w:r>
        <w:r w:rsidR="00727004">
          <w:rPr>
            <w:noProof/>
            <w:webHidden/>
          </w:rPr>
          <w:fldChar w:fldCharType="separate"/>
        </w:r>
        <w:r w:rsidR="00C0789E">
          <w:rPr>
            <w:noProof/>
            <w:webHidden/>
          </w:rPr>
          <w:t>17</w:t>
        </w:r>
        <w:r w:rsidR="00727004">
          <w:rPr>
            <w:noProof/>
            <w:webHidden/>
          </w:rPr>
          <w:fldChar w:fldCharType="end"/>
        </w:r>
      </w:hyperlink>
    </w:p>
    <w:p w14:paraId="36C95921" w14:textId="391D05B5" w:rsidR="00727004" w:rsidRDefault="006A50FC" w:rsidP="00C0789E">
      <w:pPr>
        <w:pStyle w:val="TOC1"/>
        <w:rPr>
          <w:rFonts w:asciiTheme="minorHAnsi" w:eastAsiaTheme="minorEastAsia" w:hAnsiTheme="minorHAnsi" w:cstheme="minorBidi"/>
          <w:noProof/>
        </w:rPr>
      </w:pPr>
      <w:hyperlink w:anchor="_Toc130818865" w:history="1">
        <w:r w:rsidR="00727004" w:rsidRPr="00311707">
          <w:rPr>
            <w:rStyle w:val="Hyperlink"/>
            <w:noProof/>
          </w:rPr>
          <w:t>Item 11</w:t>
        </w:r>
        <w:r w:rsidR="00727004">
          <w:rPr>
            <w:rFonts w:asciiTheme="minorHAnsi" w:eastAsiaTheme="minorEastAsia" w:hAnsiTheme="minorHAnsi" w:cstheme="minorBidi"/>
            <w:noProof/>
          </w:rPr>
          <w:tab/>
        </w:r>
        <w:r w:rsidR="00727004" w:rsidRPr="00311707">
          <w:rPr>
            <w:rStyle w:val="Hyperlink"/>
            <w:noProof/>
          </w:rPr>
          <w:t>Code of Ethics, Participation or Interest in Client Transactions and Personal Trading</w:t>
        </w:r>
        <w:r w:rsidR="00727004">
          <w:rPr>
            <w:noProof/>
            <w:webHidden/>
          </w:rPr>
          <w:tab/>
        </w:r>
        <w:r w:rsidR="00727004">
          <w:rPr>
            <w:noProof/>
            <w:webHidden/>
          </w:rPr>
          <w:fldChar w:fldCharType="begin"/>
        </w:r>
        <w:r w:rsidR="00727004">
          <w:rPr>
            <w:noProof/>
            <w:webHidden/>
          </w:rPr>
          <w:instrText xml:space="preserve"> PAGEREF _Toc130818865 \h </w:instrText>
        </w:r>
        <w:r w:rsidR="00727004">
          <w:rPr>
            <w:noProof/>
            <w:webHidden/>
          </w:rPr>
        </w:r>
        <w:r w:rsidR="00727004">
          <w:rPr>
            <w:noProof/>
            <w:webHidden/>
          </w:rPr>
          <w:fldChar w:fldCharType="separate"/>
        </w:r>
        <w:r w:rsidR="00C0789E">
          <w:rPr>
            <w:noProof/>
            <w:webHidden/>
          </w:rPr>
          <w:t>18</w:t>
        </w:r>
        <w:r w:rsidR="00727004">
          <w:rPr>
            <w:noProof/>
            <w:webHidden/>
          </w:rPr>
          <w:fldChar w:fldCharType="end"/>
        </w:r>
      </w:hyperlink>
    </w:p>
    <w:p w14:paraId="656D21E0" w14:textId="638CA3C1" w:rsidR="00727004" w:rsidRDefault="006A50FC" w:rsidP="00C0789E">
      <w:pPr>
        <w:pStyle w:val="TOC1"/>
        <w:rPr>
          <w:rFonts w:asciiTheme="minorHAnsi" w:eastAsiaTheme="minorEastAsia" w:hAnsiTheme="minorHAnsi" w:cstheme="minorBidi"/>
          <w:noProof/>
        </w:rPr>
      </w:pPr>
      <w:hyperlink w:anchor="_Toc130818866" w:history="1">
        <w:r w:rsidR="00727004" w:rsidRPr="00311707">
          <w:rPr>
            <w:rStyle w:val="Hyperlink"/>
            <w:noProof/>
          </w:rPr>
          <w:t>Item 12</w:t>
        </w:r>
        <w:r w:rsidR="00727004">
          <w:rPr>
            <w:rFonts w:asciiTheme="minorHAnsi" w:eastAsiaTheme="minorEastAsia" w:hAnsiTheme="minorHAnsi" w:cstheme="minorBidi"/>
            <w:noProof/>
          </w:rPr>
          <w:tab/>
        </w:r>
        <w:r w:rsidR="00727004" w:rsidRPr="00311707">
          <w:rPr>
            <w:rStyle w:val="Hyperlink"/>
            <w:noProof/>
          </w:rPr>
          <w:t>Brokerage Practices</w:t>
        </w:r>
        <w:r w:rsidR="00727004">
          <w:rPr>
            <w:noProof/>
            <w:webHidden/>
          </w:rPr>
          <w:tab/>
        </w:r>
        <w:r w:rsidR="00727004">
          <w:rPr>
            <w:noProof/>
            <w:webHidden/>
          </w:rPr>
          <w:fldChar w:fldCharType="begin"/>
        </w:r>
        <w:r w:rsidR="00727004">
          <w:rPr>
            <w:noProof/>
            <w:webHidden/>
          </w:rPr>
          <w:instrText xml:space="preserve"> PAGEREF _Toc130818866 \h </w:instrText>
        </w:r>
        <w:r w:rsidR="00727004">
          <w:rPr>
            <w:noProof/>
            <w:webHidden/>
          </w:rPr>
        </w:r>
        <w:r w:rsidR="00727004">
          <w:rPr>
            <w:noProof/>
            <w:webHidden/>
          </w:rPr>
          <w:fldChar w:fldCharType="separate"/>
        </w:r>
        <w:r w:rsidR="00C0789E">
          <w:rPr>
            <w:noProof/>
            <w:webHidden/>
          </w:rPr>
          <w:t>19</w:t>
        </w:r>
        <w:r w:rsidR="00727004">
          <w:rPr>
            <w:noProof/>
            <w:webHidden/>
          </w:rPr>
          <w:fldChar w:fldCharType="end"/>
        </w:r>
      </w:hyperlink>
    </w:p>
    <w:p w14:paraId="26B974E1" w14:textId="4CBCF07F" w:rsidR="00727004" w:rsidRDefault="006A50FC" w:rsidP="00C0789E">
      <w:pPr>
        <w:pStyle w:val="TOC1"/>
        <w:rPr>
          <w:rFonts w:asciiTheme="minorHAnsi" w:eastAsiaTheme="minorEastAsia" w:hAnsiTheme="minorHAnsi" w:cstheme="minorBidi"/>
          <w:noProof/>
        </w:rPr>
      </w:pPr>
      <w:hyperlink w:anchor="_Toc130818867" w:history="1">
        <w:r w:rsidR="00727004" w:rsidRPr="00311707">
          <w:rPr>
            <w:rStyle w:val="Hyperlink"/>
            <w:noProof/>
          </w:rPr>
          <w:t>Item 13</w:t>
        </w:r>
        <w:r w:rsidR="00727004">
          <w:rPr>
            <w:rFonts w:asciiTheme="minorHAnsi" w:eastAsiaTheme="minorEastAsia" w:hAnsiTheme="minorHAnsi" w:cstheme="minorBidi"/>
            <w:noProof/>
          </w:rPr>
          <w:tab/>
        </w:r>
        <w:r w:rsidR="00727004" w:rsidRPr="00311707">
          <w:rPr>
            <w:rStyle w:val="Hyperlink"/>
            <w:noProof/>
          </w:rPr>
          <w:t>Review of Accounts</w:t>
        </w:r>
        <w:r w:rsidR="00727004">
          <w:rPr>
            <w:noProof/>
            <w:webHidden/>
          </w:rPr>
          <w:tab/>
        </w:r>
        <w:r w:rsidR="00727004">
          <w:rPr>
            <w:noProof/>
            <w:webHidden/>
          </w:rPr>
          <w:fldChar w:fldCharType="begin"/>
        </w:r>
        <w:r w:rsidR="00727004">
          <w:rPr>
            <w:noProof/>
            <w:webHidden/>
          </w:rPr>
          <w:instrText xml:space="preserve"> PAGEREF _Toc130818867 \h </w:instrText>
        </w:r>
        <w:r w:rsidR="00727004">
          <w:rPr>
            <w:noProof/>
            <w:webHidden/>
          </w:rPr>
        </w:r>
        <w:r w:rsidR="00727004">
          <w:rPr>
            <w:noProof/>
            <w:webHidden/>
          </w:rPr>
          <w:fldChar w:fldCharType="separate"/>
        </w:r>
        <w:r w:rsidR="00C0789E">
          <w:rPr>
            <w:noProof/>
            <w:webHidden/>
          </w:rPr>
          <w:t>21</w:t>
        </w:r>
        <w:r w:rsidR="00727004">
          <w:rPr>
            <w:noProof/>
            <w:webHidden/>
          </w:rPr>
          <w:fldChar w:fldCharType="end"/>
        </w:r>
      </w:hyperlink>
    </w:p>
    <w:p w14:paraId="33C5A1CC" w14:textId="7CA48D49" w:rsidR="00727004" w:rsidRDefault="006A50FC" w:rsidP="00C0789E">
      <w:pPr>
        <w:pStyle w:val="TOC1"/>
        <w:rPr>
          <w:rFonts w:asciiTheme="minorHAnsi" w:eastAsiaTheme="minorEastAsia" w:hAnsiTheme="minorHAnsi" w:cstheme="minorBidi"/>
          <w:noProof/>
        </w:rPr>
      </w:pPr>
      <w:hyperlink w:anchor="_Toc130818868" w:history="1">
        <w:r w:rsidR="00727004" w:rsidRPr="00311707">
          <w:rPr>
            <w:rStyle w:val="Hyperlink"/>
            <w:noProof/>
          </w:rPr>
          <w:t>Item 14</w:t>
        </w:r>
        <w:r w:rsidR="00727004">
          <w:rPr>
            <w:rFonts w:asciiTheme="minorHAnsi" w:eastAsiaTheme="minorEastAsia" w:hAnsiTheme="minorHAnsi" w:cstheme="minorBidi"/>
            <w:noProof/>
          </w:rPr>
          <w:tab/>
        </w:r>
        <w:r w:rsidR="00727004" w:rsidRPr="00311707">
          <w:rPr>
            <w:rStyle w:val="Hyperlink"/>
            <w:noProof/>
          </w:rPr>
          <w:t>Client Referrals and Other Compensation</w:t>
        </w:r>
        <w:r w:rsidR="00727004">
          <w:rPr>
            <w:noProof/>
            <w:webHidden/>
          </w:rPr>
          <w:tab/>
        </w:r>
        <w:r w:rsidR="00727004">
          <w:rPr>
            <w:noProof/>
            <w:webHidden/>
          </w:rPr>
          <w:fldChar w:fldCharType="begin"/>
        </w:r>
        <w:r w:rsidR="00727004">
          <w:rPr>
            <w:noProof/>
            <w:webHidden/>
          </w:rPr>
          <w:instrText xml:space="preserve"> PAGEREF _Toc130818868 \h </w:instrText>
        </w:r>
        <w:r w:rsidR="00727004">
          <w:rPr>
            <w:noProof/>
            <w:webHidden/>
          </w:rPr>
        </w:r>
        <w:r w:rsidR="00727004">
          <w:rPr>
            <w:noProof/>
            <w:webHidden/>
          </w:rPr>
          <w:fldChar w:fldCharType="separate"/>
        </w:r>
        <w:r w:rsidR="00C0789E">
          <w:rPr>
            <w:noProof/>
            <w:webHidden/>
          </w:rPr>
          <w:t>21</w:t>
        </w:r>
        <w:r w:rsidR="00727004">
          <w:rPr>
            <w:noProof/>
            <w:webHidden/>
          </w:rPr>
          <w:fldChar w:fldCharType="end"/>
        </w:r>
      </w:hyperlink>
    </w:p>
    <w:p w14:paraId="3FDCE294" w14:textId="0B5C4041" w:rsidR="00727004" w:rsidRDefault="006A50FC" w:rsidP="00C0789E">
      <w:pPr>
        <w:pStyle w:val="TOC1"/>
        <w:rPr>
          <w:rFonts w:asciiTheme="minorHAnsi" w:eastAsiaTheme="minorEastAsia" w:hAnsiTheme="minorHAnsi" w:cstheme="minorBidi"/>
          <w:noProof/>
        </w:rPr>
      </w:pPr>
      <w:hyperlink w:anchor="_Toc130818869" w:history="1">
        <w:r w:rsidR="00727004" w:rsidRPr="00311707">
          <w:rPr>
            <w:rStyle w:val="Hyperlink"/>
            <w:noProof/>
          </w:rPr>
          <w:t>Item 15</w:t>
        </w:r>
        <w:r w:rsidR="00727004">
          <w:rPr>
            <w:rFonts w:asciiTheme="minorHAnsi" w:eastAsiaTheme="minorEastAsia" w:hAnsiTheme="minorHAnsi" w:cstheme="minorBidi"/>
            <w:noProof/>
          </w:rPr>
          <w:tab/>
        </w:r>
        <w:r w:rsidR="00727004" w:rsidRPr="00311707">
          <w:rPr>
            <w:rStyle w:val="Hyperlink"/>
            <w:noProof/>
          </w:rPr>
          <w:t>Custody</w:t>
        </w:r>
        <w:r w:rsidR="00727004">
          <w:rPr>
            <w:noProof/>
            <w:webHidden/>
          </w:rPr>
          <w:tab/>
        </w:r>
        <w:r w:rsidR="00727004">
          <w:rPr>
            <w:noProof/>
            <w:webHidden/>
          </w:rPr>
          <w:fldChar w:fldCharType="begin"/>
        </w:r>
        <w:r w:rsidR="00727004">
          <w:rPr>
            <w:noProof/>
            <w:webHidden/>
          </w:rPr>
          <w:instrText xml:space="preserve"> PAGEREF _Toc130818869 \h </w:instrText>
        </w:r>
        <w:r w:rsidR="00727004">
          <w:rPr>
            <w:noProof/>
            <w:webHidden/>
          </w:rPr>
        </w:r>
        <w:r w:rsidR="00727004">
          <w:rPr>
            <w:noProof/>
            <w:webHidden/>
          </w:rPr>
          <w:fldChar w:fldCharType="separate"/>
        </w:r>
        <w:r w:rsidR="00C0789E">
          <w:rPr>
            <w:noProof/>
            <w:webHidden/>
          </w:rPr>
          <w:t>21</w:t>
        </w:r>
        <w:r w:rsidR="00727004">
          <w:rPr>
            <w:noProof/>
            <w:webHidden/>
          </w:rPr>
          <w:fldChar w:fldCharType="end"/>
        </w:r>
      </w:hyperlink>
    </w:p>
    <w:p w14:paraId="17ED2EF2" w14:textId="0BF9848F" w:rsidR="00727004" w:rsidRDefault="006A50FC" w:rsidP="00C0789E">
      <w:pPr>
        <w:pStyle w:val="TOC1"/>
        <w:rPr>
          <w:rFonts w:asciiTheme="minorHAnsi" w:eastAsiaTheme="minorEastAsia" w:hAnsiTheme="minorHAnsi" w:cstheme="minorBidi"/>
          <w:noProof/>
        </w:rPr>
      </w:pPr>
      <w:hyperlink w:anchor="_Toc130818870" w:history="1">
        <w:r w:rsidR="00727004" w:rsidRPr="00311707">
          <w:rPr>
            <w:rStyle w:val="Hyperlink"/>
            <w:noProof/>
          </w:rPr>
          <w:t>Item 16</w:t>
        </w:r>
        <w:r w:rsidR="00727004">
          <w:rPr>
            <w:rFonts w:asciiTheme="minorHAnsi" w:eastAsiaTheme="minorEastAsia" w:hAnsiTheme="minorHAnsi" w:cstheme="minorBidi"/>
            <w:noProof/>
          </w:rPr>
          <w:tab/>
        </w:r>
        <w:r w:rsidR="00727004" w:rsidRPr="00311707">
          <w:rPr>
            <w:rStyle w:val="Hyperlink"/>
            <w:noProof/>
          </w:rPr>
          <w:t>Investment Discretion</w:t>
        </w:r>
        <w:r w:rsidR="00727004">
          <w:rPr>
            <w:noProof/>
            <w:webHidden/>
          </w:rPr>
          <w:tab/>
        </w:r>
        <w:r w:rsidR="00727004">
          <w:rPr>
            <w:noProof/>
            <w:webHidden/>
          </w:rPr>
          <w:fldChar w:fldCharType="begin"/>
        </w:r>
        <w:r w:rsidR="00727004">
          <w:rPr>
            <w:noProof/>
            <w:webHidden/>
          </w:rPr>
          <w:instrText xml:space="preserve"> PAGEREF _Toc130818870 \h </w:instrText>
        </w:r>
        <w:r w:rsidR="00727004">
          <w:rPr>
            <w:noProof/>
            <w:webHidden/>
          </w:rPr>
        </w:r>
        <w:r w:rsidR="00727004">
          <w:rPr>
            <w:noProof/>
            <w:webHidden/>
          </w:rPr>
          <w:fldChar w:fldCharType="separate"/>
        </w:r>
        <w:r w:rsidR="00C0789E">
          <w:rPr>
            <w:noProof/>
            <w:webHidden/>
          </w:rPr>
          <w:t>22</w:t>
        </w:r>
        <w:r w:rsidR="00727004">
          <w:rPr>
            <w:noProof/>
            <w:webHidden/>
          </w:rPr>
          <w:fldChar w:fldCharType="end"/>
        </w:r>
      </w:hyperlink>
    </w:p>
    <w:p w14:paraId="012EB1F7" w14:textId="21FC3A4E" w:rsidR="00727004" w:rsidRDefault="006A50FC" w:rsidP="00C0789E">
      <w:pPr>
        <w:pStyle w:val="TOC1"/>
        <w:rPr>
          <w:rFonts w:asciiTheme="minorHAnsi" w:eastAsiaTheme="minorEastAsia" w:hAnsiTheme="minorHAnsi" w:cstheme="minorBidi"/>
          <w:noProof/>
        </w:rPr>
      </w:pPr>
      <w:hyperlink w:anchor="_Toc130818871" w:history="1">
        <w:r w:rsidR="00727004" w:rsidRPr="00311707">
          <w:rPr>
            <w:rStyle w:val="Hyperlink"/>
            <w:noProof/>
          </w:rPr>
          <w:t>Item 17</w:t>
        </w:r>
        <w:r w:rsidR="00727004">
          <w:rPr>
            <w:rFonts w:asciiTheme="minorHAnsi" w:eastAsiaTheme="minorEastAsia" w:hAnsiTheme="minorHAnsi" w:cstheme="minorBidi"/>
            <w:noProof/>
          </w:rPr>
          <w:tab/>
        </w:r>
        <w:r w:rsidR="00727004" w:rsidRPr="00311707">
          <w:rPr>
            <w:rStyle w:val="Hyperlink"/>
            <w:noProof/>
          </w:rPr>
          <w:t>Voting Client Securities</w:t>
        </w:r>
        <w:r w:rsidR="00727004">
          <w:rPr>
            <w:noProof/>
            <w:webHidden/>
          </w:rPr>
          <w:tab/>
        </w:r>
        <w:r w:rsidR="00727004">
          <w:rPr>
            <w:noProof/>
            <w:webHidden/>
          </w:rPr>
          <w:fldChar w:fldCharType="begin"/>
        </w:r>
        <w:r w:rsidR="00727004">
          <w:rPr>
            <w:noProof/>
            <w:webHidden/>
          </w:rPr>
          <w:instrText xml:space="preserve"> PAGEREF _Toc130818871 \h </w:instrText>
        </w:r>
        <w:r w:rsidR="00727004">
          <w:rPr>
            <w:noProof/>
            <w:webHidden/>
          </w:rPr>
        </w:r>
        <w:r w:rsidR="00727004">
          <w:rPr>
            <w:noProof/>
            <w:webHidden/>
          </w:rPr>
          <w:fldChar w:fldCharType="separate"/>
        </w:r>
        <w:r w:rsidR="00C0789E">
          <w:rPr>
            <w:noProof/>
            <w:webHidden/>
          </w:rPr>
          <w:t>23</w:t>
        </w:r>
        <w:r w:rsidR="00727004">
          <w:rPr>
            <w:noProof/>
            <w:webHidden/>
          </w:rPr>
          <w:fldChar w:fldCharType="end"/>
        </w:r>
      </w:hyperlink>
    </w:p>
    <w:p w14:paraId="776DFF1C" w14:textId="3FD4645F" w:rsidR="00727004" w:rsidRDefault="006A50FC" w:rsidP="00C0789E">
      <w:pPr>
        <w:pStyle w:val="TOC1"/>
        <w:rPr>
          <w:rFonts w:asciiTheme="minorHAnsi" w:eastAsiaTheme="minorEastAsia" w:hAnsiTheme="minorHAnsi" w:cstheme="minorBidi"/>
          <w:noProof/>
        </w:rPr>
      </w:pPr>
      <w:hyperlink w:anchor="_Toc130818872" w:history="1">
        <w:r w:rsidR="00727004" w:rsidRPr="00311707">
          <w:rPr>
            <w:rStyle w:val="Hyperlink"/>
            <w:noProof/>
          </w:rPr>
          <w:t>Item 18</w:t>
        </w:r>
        <w:r w:rsidR="00727004">
          <w:rPr>
            <w:rFonts w:asciiTheme="minorHAnsi" w:eastAsiaTheme="minorEastAsia" w:hAnsiTheme="minorHAnsi" w:cstheme="minorBidi"/>
            <w:noProof/>
          </w:rPr>
          <w:tab/>
        </w:r>
        <w:r w:rsidR="00727004" w:rsidRPr="00311707">
          <w:rPr>
            <w:rStyle w:val="Hyperlink"/>
            <w:noProof/>
          </w:rPr>
          <w:t>Financial Information</w:t>
        </w:r>
        <w:r w:rsidR="00727004">
          <w:rPr>
            <w:noProof/>
            <w:webHidden/>
          </w:rPr>
          <w:tab/>
        </w:r>
        <w:r w:rsidR="00727004">
          <w:rPr>
            <w:noProof/>
            <w:webHidden/>
          </w:rPr>
          <w:fldChar w:fldCharType="begin"/>
        </w:r>
        <w:r w:rsidR="00727004">
          <w:rPr>
            <w:noProof/>
            <w:webHidden/>
          </w:rPr>
          <w:instrText xml:space="preserve"> PAGEREF _Toc130818872 \h </w:instrText>
        </w:r>
        <w:r w:rsidR="00727004">
          <w:rPr>
            <w:noProof/>
            <w:webHidden/>
          </w:rPr>
        </w:r>
        <w:r w:rsidR="00727004">
          <w:rPr>
            <w:noProof/>
            <w:webHidden/>
          </w:rPr>
          <w:fldChar w:fldCharType="separate"/>
        </w:r>
        <w:r w:rsidR="00C0789E">
          <w:rPr>
            <w:noProof/>
            <w:webHidden/>
          </w:rPr>
          <w:t>23</w:t>
        </w:r>
        <w:r w:rsidR="00727004">
          <w:rPr>
            <w:noProof/>
            <w:webHidden/>
          </w:rPr>
          <w:fldChar w:fldCharType="end"/>
        </w:r>
      </w:hyperlink>
    </w:p>
    <w:p w14:paraId="7B85689A" w14:textId="51E0BFB8" w:rsidR="00473B1D" w:rsidRPr="00104E94" w:rsidRDefault="0050017C">
      <w:pPr>
        <w:rPr>
          <w:highlight w:val="yellow"/>
        </w:rPr>
      </w:pPr>
      <w:r w:rsidRPr="00104E94">
        <w:rPr>
          <w:highlight w:val="yellow"/>
        </w:rPr>
        <w:fldChar w:fldCharType="end"/>
      </w:r>
    </w:p>
    <w:p w14:paraId="38AB6F09" w14:textId="77777777" w:rsidR="00473B1D" w:rsidRPr="00104E94" w:rsidRDefault="00473B1D">
      <w:pPr>
        <w:rPr>
          <w:highlight w:val="yellow"/>
        </w:rPr>
      </w:pPr>
      <w:r w:rsidRPr="00104E94">
        <w:rPr>
          <w:highlight w:val="yellow"/>
        </w:rPr>
        <w:br w:type="page"/>
      </w:r>
    </w:p>
    <w:p w14:paraId="23CF7ED8" w14:textId="77777777" w:rsidR="00473B1D" w:rsidRPr="00104E94" w:rsidRDefault="00473B1D">
      <w:pPr>
        <w:pStyle w:val="Heading1"/>
      </w:pPr>
      <w:bookmarkStart w:id="8" w:name="_Toc273621954"/>
      <w:bookmarkStart w:id="9" w:name="_Toc351646173"/>
      <w:bookmarkStart w:id="10" w:name="_Toc130818858"/>
      <w:r w:rsidRPr="00104E94">
        <w:lastRenderedPageBreak/>
        <w:t>Item 4</w:t>
      </w:r>
      <w:r w:rsidRPr="00104E94">
        <w:tab/>
        <w:t>Advisory Business</w:t>
      </w:r>
      <w:bookmarkEnd w:id="8"/>
      <w:bookmarkEnd w:id="9"/>
      <w:bookmarkEnd w:id="10"/>
    </w:p>
    <w:p w14:paraId="6A41DE63" w14:textId="77777777" w:rsidR="00473B1D" w:rsidRPr="00104E94" w:rsidRDefault="00473B1D"/>
    <w:p w14:paraId="7BFD6576" w14:textId="3AB30774" w:rsidR="00ED54A4" w:rsidRPr="00104E94" w:rsidRDefault="00A67ABB" w:rsidP="00A028E2">
      <w:pPr>
        <w:pStyle w:val="Header"/>
        <w:numPr>
          <w:ilvl w:val="0"/>
          <w:numId w:val="24"/>
        </w:numPr>
        <w:tabs>
          <w:tab w:val="clear" w:pos="4680"/>
          <w:tab w:val="clear" w:pos="9360"/>
        </w:tabs>
        <w:ind w:right="720"/>
        <w:jc w:val="both"/>
      </w:pPr>
      <w:r w:rsidRPr="00104E94">
        <w:t>Newman Dignan &amp; Sheer</w:t>
      </w:r>
      <w:r w:rsidR="006E3F6F" w:rsidRPr="00104E94">
        <w:t>a</w:t>
      </w:r>
      <w:r w:rsidRPr="00104E94">
        <w:t xml:space="preserve">r, Inc. (the </w:t>
      </w:r>
      <w:r w:rsidR="00690BEA" w:rsidRPr="00104E94">
        <w:t>“</w:t>
      </w:r>
      <w:r w:rsidRPr="00104E94">
        <w:t>Registrant</w:t>
      </w:r>
      <w:r w:rsidR="00690BEA" w:rsidRPr="00104E94">
        <w:t>”</w:t>
      </w:r>
      <w:r w:rsidRPr="00104E94">
        <w:t xml:space="preserve">) </w:t>
      </w:r>
      <w:r w:rsidR="00ED54A4" w:rsidRPr="00104E94">
        <w:t xml:space="preserve">is a </w:t>
      </w:r>
      <w:r w:rsidR="00F17F0B" w:rsidRPr="00104E94">
        <w:t xml:space="preserve">Rhode Island </w:t>
      </w:r>
      <w:r w:rsidR="008314C8" w:rsidRPr="00104E94">
        <w:t>corporation</w:t>
      </w:r>
      <w:r w:rsidR="00ED54A4" w:rsidRPr="00104E94">
        <w:t xml:space="preserve"> formed on </w:t>
      </w:r>
      <w:r w:rsidR="008314C8" w:rsidRPr="00104E94">
        <w:t>March 18, 1992</w:t>
      </w:r>
      <w:r w:rsidR="002F060E">
        <w:t>,</w:t>
      </w:r>
      <w:r w:rsidR="00E618AF">
        <w:t xml:space="preserve"> and </w:t>
      </w:r>
      <w:r w:rsidR="000547EA">
        <w:t>registered as an i</w:t>
      </w:r>
      <w:r w:rsidR="00ED54A4" w:rsidRPr="00104E94">
        <w:t xml:space="preserve">nvestment </w:t>
      </w:r>
      <w:r w:rsidR="000547EA">
        <w:t>a</w:t>
      </w:r>
      <w:r w:rsidR="00ED54A4" w:rsidRPr="00104E94">
        <w:t xml:space="preserve">dviser in </w:t>
      </w:r>
      <w:r w:rsidR="008314C8" w:rsidRPr="00104E94">
        <w:t>May 1992</w:t>
      </w:r>
      <w:r w:rsidR="00ED54A4" w:rsidRPr="00104E94">
        <w:t>. The Registrant is</w:t>
      </w:r>
      <w:r w:rsidR="008314C8" w:rsidRPr="00104E94">
        <w:t xml:space="preserve"> principally</w:t>
      </w:r>
      <w:r w:rsidR="00ED54A4" w:rsidRPr="00104E94">
        <w:t xml:space="preserve"> owned by William </w:t>
      </w:r>
      <w:r w:rsidR="008314C8" w:rsidRPr="00104E94">
        <w:t>Newman</w:t>
      </w:r>
      <w:r w:rsidR="006E3F6F" w:rsidRPr="00104E94">
        <w:t xml:space="preserve"> and John P. Sheerar</w:t>
      </w:r>
      <w:r w:rsidR="00ED54A4" w:rsidRPr="00104E94">
        <w:t xml:space="preserve">. </w:t>
      </w:r>
      <w:r w:rsidR="002D3D7D" w:rsidRPr="00104E94">
        <w:t>Mr. Newman is the Registrant</w:t>
      </w:r>
      <w:r w:rsidR="00690BEA" w:rsidRPr="00104E94">
        <w:t>’</w:t>
      </w:r>
      <w:r w:rsidR="002D3D7D" w:rsidRPr="00104E94">
        <w:t>s President</w:t>
      </w:r>
      <w:r w:rsidR="00AC7F33" w:rsidRPr="00104E94">
        <w:t xml:space="preserve">. </w:t>
      </w:r>
      <w:r w:rsidR="002D3D7D" w:rsidRPr="00104E94">
        <w:t>Mr. Sheerar is the Registrant</w:t>
      </w:r>
      <w:r w:rsidR="00690BEA" w:rsidRPr="00104E94">
        <w:t>’</w:t>
      </w:r>
      <w:r w:rsidR="002D3D7D" w:rsidRPr="00104E94">
        <w:t>s Vice President.</w:t>
      </w:r>
    </w:p>
    <w:p w14:paraId="432A567B" w14:textId="77777777" w:rsidR="00FB0942" w:rsidRPr="00104E94" w:rsidRDefault="00FB0942" w:rsidP="00FB0942">
      <w:pPr>
        <w:pStyle w:val="Header"/>
        <w:tabs>
          <w:tab w:val="clear" w:pos="4680"/>
          <w:tab w:val="clear" w:pos="9360"/>
        </w:tabs>
        <w:ind w:left="720" w:right="720"/>
        <w:jc w:val="both"/>
      </w:pPr>
    </w:p>
    <w:p w14:paraId="4A4474D7" w14:textId="0DB06520" w:rsidR="00473B1D" w:rsidRPr="00104E94" w:rsidRDefault="00473B1D" w:rsidP="00ED54A4">
      <w:pPr>
        <w:pStyle w:val="Header"/>
        <w:numPr>
          <w:ilvl w:val="0"/>
          <w:numId w:val="4"/>
        </w:numPr>
        <w:tabs>
          <w:tab w:val="clear" w:pos="4680"/>
          <w:tab w:val="clear" w:pos="9360"/>
        </w:tabs>
        <w:ind w:right="720"/>
        <w:jc w:val="both"/>
      </w:pPr>
      <w:r w:rsidRPr="00104E94">
        <w:t>Registrant offers to its clients (</w:t>
      </w:r>
      <w:r w:rsidR="00F17F0B">
        <w:t xml:space="preserve">generally: </w:t>
      </w:r>
      <w:r w:rsidRPr="00104E94">
        <w:t xml:space="preserve">individuals, </w:t>
      </w:r>
      <w:r w:rsidR="00F17F0B">
        <w:t xml:space="preserve">high net worth individuals, </w:t>
      </w:r>
      <w:r w:rsidR="00F352ED">
        <w:t xml:space="preserve">pension and </w:t>
      </w:r>
      <w:r w:rsidR="002F060E">
        <w:t>profit-sharing</w:t>
      </w:r>
      <w:r w:rsidR="00F352ED">
        <w:t xml:space="preserve"> plans, </w:t>
      </w:r>
      <w:r w:rsidRPr="00104E94">
        <w:t xml:space="preserve">business entities, trusts, estates and charitable organizations, etc.) </w:t>
      </w:r>
      <w:r w:rsidR="00B41C51">
        <w:t>the</w:t>
      </w:r>
      <w:r w:rsidR="008314C8" w:rsidRPr="00104E94">
        <w:t xml:space="preserve"> </w:t>
      </w:r>
      <w:r w:rsidRPr="00104E94">
        <w:t>investment advisory services</w:t>
      </w:r>
      <w:r w:rsidR="00F17F0B">
        <w:t xml:space="preserve"> described below.</w:t>
      </w:r>
    </w:p>
    <w:p w14:paraId="3F4332DF" w14:textId="77777777" w:rsidR="00FB0942" w:rsidRPr="00104E94" w:rsidRDefault="00FB0942" w:rsidP="00FB0942">
      <w:pPr>
        <w:pStyle w:val="Header"/>
        <w:tabs>
          <w:tab w:val="clear" w:pos="4680"/>
          <w:tab w:val="clear" w:pos="9360"/>
        </w:tabs>
        <w:ind w:left="720" w:right="720"/>
        <w:jc w:val="both"/>
      </w:pPr>
    </w:p>
    <w:p w14:paraId="10037BE4" w14:textId="77777777" w:rsidR="00473B1D" w:rsidRPr="00104E94" w:rsidRDefault="00473B1D" w:rsidP="004F300E">
      <w:pPr>
        <w:spacing w:after="120"/>
        <w:ind w:left="720" w:right="720"/>
        <w:jc w:val="center"/>
        <w:rPr>
          <w:rFonts w:ascii="Times New Roman Bold" w:hAnsi="Times New Roman Bold"/>
          <w:b/>
          <w:smallCaps/>
          <w:sz w:val="24"/>
        </w:rPr>
      </w:pPr>
      <w:bookmarkStart w:id="11" w:name="_Toc272137407"/>
      <w:r w:rsidRPr="00104E94">
        <w:rPr>
          <w:rFonts w:ascii="Times New Roman Bold" w:hAnsi="Times New Roman Bold"/>
          <w:b/>
          <w:smallCaps/>
          <w:sz w:val="24"/>
        </w:rPr>
        <w:t>I</w:t>
      </w:r>
      <w:r w:rsidR="0071722D" w:rsidRPr="00104E94">
        <w:rPr>
          <w:rFonts w:ascii="Times New Roman Bold" w:hAnsi="Times New Roman Bold"/>
          <w:b/>
          <w:smallCaps/>
          <w:sz w:val="24"/>
        </w:rPr>
        <w:t>nvestment Advisory Services</w:t>
      </w:r>
      <w:bookmarkEnd w:id="11"/>
    </w:p>
    <w:p w14:paraId="70B49C5D" w14:textId="27727BFE" w:rsidR="00277389" w:rsidRPr="00104E94" w:rsidRDefault="00473B1D" w:rsidP="00277389">
      <w:pPr>
        <w:ind w:left="720" w:right="720"/>
        <w:jc w:val="both"/>
      </w:pPr>
      <w:r w:rsidRPr="00104E94">
        <w:t>The client can determine to engage the Registrant to provide discretionary investment advisory services on a fee</w:t>
      </w:r>
      <w:r w:rsidR="008314C8" w:rsidRPr="00104E94">
        <w:t>-</w:t>
      </w:r>
      <w:r w:rsidR="006E3F6F" w:rsidRPr="00104E94">
        <w:t>only basis</w:t>
      </w:r>
      <w:r w:rsidR="00B2496B">
        <w:t xml:space="preserve"> as discussed below at Item 5</w:t>
      </w:r>
      <w:r w:rsidRPr="00104E94">
        <w:t xml:space="preserve">. </w:t>
      </w:r>
      <w:r w:rsidR="00F17F0B">
        <w:t>Before</w:t>
      </w:r>
      <w:r w:rsidR="00277389" w:rsidRPr="00104E94">
        <w:t xml:space="preserve"> engaging the Registrant to provide investment advisory services, clients are required to enter into an I</w:t>
      </w:r>
      <w:r w:rsidR="00277389" w:rsidRPr="00104E94">
        <w:rPr>
          <w:iCs/>
        </w:rPr>
        <w:t>nvestment Advisory Agreement</w:t>
      </w:r>
      <w:r w:rsidR="00277389" w:rsidRPr="00104E94">
        <w:t xml:space="preserve"> with Registrant setting forth the terms and conditions of the engagement (including termination), describing the scope of the services to be provided, and the fee that is due from the client.</w:t>
      </w:r>
    </w:p>
    <w:p w14:paraId="5BDF8103" w14:textId="77777777" w:rsidR="00473B1D" w:rsidRPr="00104E94" w:rsidRDefault="00473B1D" w:rsidP="00B75F1C">
      <w:pPr>
        <w:ind w:left="720" w:right="720"/>
        <w:jc w:val="both"/>
      </w:pPr>
    </w:p>
    <w:p w14:paraId="28653937" w14:textId="77777777" w:rsidR="00473B1D" w:rsidRPr="00104E94" w:rsidRDefault="00473B1D" w:rsidP="00277389">
      <w:pPr>
        <w:ind w:left="720" w:right="720"/>
        <w:rPr>
          <w:sz w:val="4"/>
          <w:u w:val="single"/>
        </w:rPr>
      </w:pPr>
      <w:r w:rsidRPr="00104E94">
        <w:tab/>
      </w:r>
    </w:p>
    <w:p w14:paraId="4E50C6C0" w14:textId="2B6397A5" w:rsidR="00473B1D" w:rsidRPr="00104E94" w:rsidRDefault="00473B1D" w:rsidP="00B75F1C">
      <w:pPr>
        <w:tabs>
          <w:tab w:val="left" w:pos="3616"/>
        </w:tabs>
        <w:ind w:left="720" w:right="720"/>
        <w:jc w:val="both"/>
      </w:pPr>
      <w:r w:rsidRPr="00104E94">
        <w:t>Registrant</w:t>
      </w:r>
      <w:r w:rsidR="00690BEA" w:rsidRPr="00104E94">
        <w:t>’</w:t>
      </w:r>
      <w:r w:rsidRPr="00104E94">
        <w:t xml:space="preserve">s annual investment advisory fee </w:t>
      </w:r>
      <w:r w:rsidR="00486D89" w:rsidRPr="00104E94">
        <w:t>compensate</w:t>
      </w:r>
      <w:r w:rsidR="00F17F0B">
        <w:t>s</w:t>
      </w:r>
      <w:r w:rsidR="00486D89" w:rsidRPr="00104E94">
        <w:t xml:space="preserve"> for </w:t>
      </w:r>
      <w:r w:rsidRPr="00104E94">
        <w:t xml:space="preserve">investment advisory services, and, </w:t>
      </w:r>
      <w:r w:rsidRPr="00104E94">
        <w:rPr>
          <w:u w:val="single"/>
        </w:rPr>
        <w:t xml:space="preserve">to the </w:t>
      </w:r>
      <w:r w:rsidRPr="00104E94">
        <w:rPr>
          <w:bCs/>
          <w:u w:val="single"/>
        </w:rPr>
        <w:t>extent specifically requested</w:t>
      </w:r>
      <w:r w:rsidRPr="00104E94">
        <w:rPr>
          <w:u w:val="single"/>
        </w:rPr>
        <w:t xml:space="preserve"> by the client</w:t>
      </w:r>
      <w:r w:rsidRPr="00104E94">
        <w:t xml:space="preserve">, </w:t>
      </w:r>
      <w:r w:rsidR="008314C8" w:rsidRPr="00104E94">
        <w:t xml:space="preserve">Registrant may provide limited consultation services to its </w:t>
      </w:r>
      <w:r w:rsidR="00040917" w:rsidRPr="00104E94">
        <w:t>investment advisory</w:t>
      </w:r>
      <w:r w:rsidR="008314C8" w:rsidRPr="00104E94">
        <w:t xml:space="preserve"> clients on investment and non-investment related matters that are generally ancillary to the </w:t>
      </w:r>
      <w:r w:rsidR="00040917" w:rsidRPr="00104E94">
        <w:t>investment advisory</w:t>
      </w:r>
      <w:r w:rsidR="008314C8" w:rsidRPr="00104E94">
        <w:t xml:space="preserve"> process</w:t>
      </w:r>
      <w:r w:rsidR="00AC7F33" w:rsidRPr="00104E94">
        <w:t xml:space="preserve">. </w:t>
      </w:r>
      <w:r w:rsidR="008314C8" w:rsidRPr="00104E94">
        <w:t xml:space="preserve">Any such consultation services, to the extent rendered, shall be rendered exclusively on an unsolicited basis, for which Registrant shall usually not receive any separate or additional fee. </w:t>
      </w:r>
      <w:r w:rsidR="00F17F0B" w:rsidRPr="00104E94">
        <w:t>In those limited situations where the client requests more extensive consulting services, Registrant may provide consulting services on a stand-alone hourly or fixed fee basis</w:t>
      </w:r>
      <w:r w:rsidR="00AC7F33" w:rsidRPr="00104E94">
        <w:t xml:space="preserve">. </w:t>
      </w:r>
    </w:p>
    <w:p w14:paraId="0BE59071" w14:textId="77777777" w:rsidR="00277389" w:rsidRPr="00104E94" w:rsidRDefault="00277389" w:rsidP="00B75F1C">
      <w:pPr>
        <w:tabs>
          <w:tab w:val="left" w:pos="3616"/>
        </w:tabs>
        <w:ind w:left="720" w:right="720"/>
        <w:jc w:val="both"/>
      </w:pPr>
    </w:p>
    <w:p w14:paraId="00E2E69E" w14:textId="77777777" w:rsidR="00F17F0B" w:rsidRDefault="00EF187F" w:rsidP="00F17F0B">
      <w:pPr>
        <w:ind w:left="720" w:right="720"/>
        <w:jc w:val="both"/>
      </w:pPr>
      <w:r w:rsidRPr="00104E94">
        <w:t xml:space="preserve">The Registrant provides investment advisory services </w:t>
      </w:r>
      <w:r w:rsidR="00486D89" w:rsidRPr="00104E94">
        <w:t xml:space="preserve">tailored </w:t>
      </w:r>
      <w:r w:rsidRPr="00104E94">
        <w:t>specific</w:t>
      </w:r>
      <w:r w:rsidR="00486D89" w:rsidRPr="00104E94">
        <w:t>al</w:t>
      </w:r>
      <w:r w:rsidR="00F17F0B">
        <w:t>ly</w:t>
      </w:r>
      <w:r w:rsidRPr="00104E94">
        <w:t xml:space="preserve"> to the needs of each client. Before providing investment advisory services, an investment adviser representative will ascertain each client</w:t>
      </w:r>
      <w:r w:rsidR="00690BEA" w:rsidRPr="00104E94">
        <w:t>’</w:t>
      </w:r>
      <w:r w:rsidRPr="00104E94">
        <w:t xml:space="preserve">s investment objectives. </w:t>
      </w:r>
      <w:r w:rsidR="00F17F0B">
        <w:t>T</w:t>
      </w:r>
      <w:r w:rsidRPr="00104E94">
        <w:t xml:space="preserve">he Registrant will </w:t>
      </w:r>
      <w:r w:rsidR="00F17F0B">
        <w:t>t</w:t>
      </w:r>
      <w:r w:rsidR="00CA22FC">
        <w:t>h</w:t>
      </w:r>
      <w:r w:rsidR="00F17F0B">
        <w:t xml:space="preserve">en </w:t>
      </w:r>
      <w:r w:rsidRPr="00104E94">
        <w:t>allocate and/or recommend that the client allocate investment assets consistent with the designated investment objectives. The Registrant primarily allocates client investment assets among various individual equity and fixed income securities, mutual funds and/or exchange traded funds (</w:t>
      </w:r>
      <w:r w:rsidR="00690BEA" w:rsidRPr="00104E94">
        <w:t>“</w:t>
      </w:r>
      <w:r w:rsidRPr="00104E94">
        <w:t>ETFs</w:t>
      </w:r>
      <w:r w:rsidR="00690BEA" w:rsidRPr="00104E94">
        <w:t>”</w:t>
      </w:r>
      <w:r w:rsidRPr="00104E94">
        <w:t>) (including inverse ETFs and/or mutual funds that are designed to perform in an inverse relationship to certain market indices), on a discretionary basis in accordance with the client</w:t>
      </w:r>
      <w:r w:rsidR="00690BEA" w:rsidRPr="00104E94">
        <w:t>’</w:t>
      </w:r>
      <w:r w:rsidRPr="00104E94">
        <w:t xml:space="preserve">s designated investment </w:t>
      </w:r>
      <w:r w:rsidR="000547EA">
        <w:t>objectives</w:t>
      </w:r>
      <w:r w:rsidRPr="00104E94">
        <w:t xml:space="preserve">. </w:t>
      </w:r>
    </w:p>
    <w:p w14:paraId="1BB5EB48" w14:textId="77777777" w:rsidR="00F17F0B" w:rsidRDefault="00F17F0B" w:rsidP="00F17F0B">
      <w:pPr>
        <w:ind w:left="720" w:right="720"/>
        <w:jc w:val="both"/>
      </w:pPr>
    </w:p>
    <w:p w14:paraId="2D0FDF42" w14:textId="77777777" w:rsidR="00FB0942" w:rsidRPr="004F300E" w:rsidRDefault="00FB0942" w:rsidP="004F300E">
      <w:pPr>
        <w:ind w:left="720" w:right="720"/>
        <w:jc w:val="center"/>
      </w:pPr>
      <w:r w:rsidRPr="004F300E">
        <w:rPr>
          <w:rFonts w:ascii="Times New Roman Bold" w:hAnsi="Times New Roman Bold"/>
          <w:b/>
          <w:bCs/>
          <w:smallCaps/>
          <w:sz w:val="24"/>
        </w:rPr>
        <w:t>R</w:t>
      </w:r>
      <w:r w:rsidR="0071722D" w:rsidRPr="004F300E">
        <w:rPr>
          <w:rFonts w:ascii="Times New Roman Bold" w:hAnsi="Times New Roman Bold"/>
          <w:b/>
          <w:bCs/>
          <w:smallCaps/>
          <w:sz w:val="24"/>
        </w:rPr>
        <w:t>etirement Plan Consulting Services</w:t>
      </w:r>
    </w:p>
    <w:p w14:paraId="54F4AB7F" w14:textId="77777777" w:rsidR="00F17F0B" w:rsidRPr="004F300E" w:rsidRDefault="00F17F0B" w:rsidP="00FB0942">
      <w:pPr>
        <w:pStyle w:val="BodyText"/>
        <w:spacing w:after="0"/>
        <w:ind w:left="720" w:right="720"/>
        <w:jc w:val="both"/>
      </w:pPr>
    </w:p>
    <w:p w14:paraId="49641864" w14:textId="77777777" w:rsidR="004F300E" w:rsidRDefault="004F300E" w:rsidP="004F300E">
      <w:pPr>
        <w:pStyle w:val="BodyText"/>
        <w:spacing w:after="0"/>
        <w:ind w:left="720" w:right="720"/>
        <w:jc w:val="both"/>
      </w:pPr>
      <w:r w:rsidRPr="004F300E">
        <w:t xml:space="preserve">The Registrant offers retirement plan consulting services to sponsors of self-directed retirement plans organized under the Employee Retirement Security Act of 1974 (“ERISA”). The Registrant performs these services in an ERISA Section 3(21) capacity, by assisting with the development of investment policy statements, and then the selection and monitoring of investment alternatives from which plan participants may choose in self-directing the investments for their individual plan retirement accounts. Upon request by the plan sponsor, Registrant may also provide participant education designed to assist participants in identifying the appropriate investment strategy for their retirement plan accounts. The terms and conditions of the engagement between the Registrant and the plan sponsor will be set forth in a </w:t>
      </w:r>
      <w:r w:rsidRPr="004F300E">
        <w:rPr>
          <w:iCs/>
        </w:rPr>
        <w:t>Retirement Plan Services Agreement</w:t>
      </w:r>
      <w:r w:rsidRPr="004F300E">
        <w:t>.</w:t>
      </w:r>
    </w:p>
    <w:p w14:paraId="2008900B" w14:textId="77777777" w:rsidR="004F300E" w:rsidRDefault="004F300E" w:rsidP="004F300E">
      <w:pPr>
        <w:pStyle w:val="BodyText"/>
        <w:spacing w:after="0"/>
        <w:ind w:left="720" w:right="720"/>
        <w:jc w:val="both"/>
      </w:pPr>
    </w:p>
    <w:p w14:paraId="038AB610" w14:textId="0034DCB9" w:rsidR="00473B1D" w:rsidRPr="00104E94" w:rsidRDefault="005E538F" w:rsidP="004F300E">
      <w:pPr>
        <w:spacing w:after="120"/>
        <w:ind w:left="720" w:right="720"/>
        <w:jc w:val="center"/>
        <w:rPr>
          <w:rFonts w:ascii="Times New Roman Bold" w:hAnsi="Times New Roman Bold"/>
          <w:b/>
          <w:bCs/>
          <w:smallCaps/>
          <w:sz w:val="24"/>
        </w:rPr>
      </w:pPr>
      <w:r w:rsidRPr="00104E94">
        <w:rPr>
          <w:rFonts w:ascii="Times New Roman Bold" w:hAnsi="Times New Roman Bold"/>
          <w:b/>
          <w:bCs/>
          <w:smallCaps/>
          <w:sz w:val="24"/>
        </w:rPr>
        <w:t>F</w:t>
      </w:r>
      <w:r w:rsidR="0071722D" w:rsidRPr="00104E94">
        <w:rPr>
          <w:rFonts w:ascii="Times New Roman Bold" w:hAnsi="Times New Roman Bold"/>
          <w:b/>
          <w:bCs/>
          <w:smallCaps/>
          <w:sz w:val="24"/>
        </w:rPr>
        <w:t xml:space="preserve">inancial </w:t>
      </w:r>
      <w:r w:rsidR="00A9230B">
        <w:rPr>
          <w:rFonts w:ascii="Times New Roman Bold" w:hAnsi="Times New Roman Bold"/>
          <w:b/>
          <w:bCs/>
          <w:smallCaps/>
          <w:sz w:val="24"/>
        </w:rPr>
        <w:t xml:space="preserve">Planning Services </w:t>
      </w:r>
    </w:p>
    <w:p w14:paraId="44732B1B" w14:textId="43243E7D" w:rsidR="00A9230B" w:rsidRPr="00F66E56" w:rsidRDefault="00A9230B" w:rsidP="00A9230B">
      <w:pPr>
        <w:ind w:left="720" w:right="720"/>
        <w:jc w:val="both"/>
      </w:pPr>
      <w:r>
        <w:t>For individual retail (i.e., non-institutional) clients, Registrant’s</w:t>
      </w:r>
      <w:r w:rsidRPr="00F66E56">
        <w:t xml:space="preserve"> annual investment advisory fee shall </w:t>
      </w:r>
      <w:r>
        <w:t>generally (exceptions can occur-</w:t>
      </w:r>
      <w:r w:rsidRPr="00A610D8">
        <w:rPr>
          <w:b/>
          <w:i/>
        </w:rPr>
        <w:t>see below</w:t>
      </w:r>
      <w:r>
        <w:t xml:space="preserve">) </w:t>
      </w:r>
      <w:r w:rsidRPr="00F66E56">
        <w:t xml:space="preserve">include investment advisory services, and, </w:t>
      </w:r>
      <w:r w:rsidRPr="00F66E56">
        <w:rPr>
          <w:bCs/>
          <w:u w:val="single"/>
        </w:rPr>
        <w:t>to the extent specifically requested by the client</w:t>
      </w:r>
      <w:r w:rsidRPr="00F66E56">
        <w:rPr>
          <w:bCs/>
        </w:rPr>
        <w:t>, financial planning and consulting services</w:t>
      </w:r>
      <w:r w:rsidRPr="00F66E56">
        <w:t xml:space="preserve">. </w:t>
      </w:r>
      <w:r w:rsidR="002F060E" w:rsidRPr="00F66E56">
        <w:t>If</w:t>
      </w:r>
      <w:r w:rsidRPr="00F66E56">
        <w:t xml:space="preserve"> the client requires extraordinary planning and/or consultation services (to be determined in the sole discretion of </w:t>
      </w:r>
      <w:r>
        <w:t>Registrant</w:t>
      </w:r>
      <w:r w:rsidRPr="00F66E56">
        <w:t xml:space="preserve">), </w:t>
      </w:r>
      <w:r>
        <w:t xml:space="preserve">Registrant </w:t>
      </w:r>
      <w:r w:rsidRPr="00F66E56">
        <w:t>may determine to charge for such additional services, the dollar amount of which shall be set forth in a separate written notice to the client.</w:t>
      </w:r>
    </w:p>
    <w:p w14:paraId="56DAF937" w14:textId="77777777" w:rsidR="00330DE2" w:rsidRPr="00104E94" w:rsidRDefault="00330DE2" w:rsidP="0071722D">
      <w:pPr>
        <w:pStyle w:val="BodyText"/>
        <w:spacing w:after="0"/>
        <w:ind w:left="720" w:right="720"/>
        <w:jc w:val="both"/>
      </w:pPr>
    </w:p>
    <w:p w14:paraId="294E6F83" w14:textId="77777777" w:rsidR="00FB0942" w:rsidRPr="00104E94" w:rsidRDefault="00473B1D" w:rsidP="004F300E">
      <w:pPr>
        <w:pStyle w:val="BodyText"/>
        <w:ind w:left="720" w:right="720"/>
        <w:jc w:val="center"/>
        <w:rPr>
          <w:rFonts w:ascii="Times New Roman Bold" w:hAnsi="Times New Roman Bold"/>
          <w:b/>
          <w:bCs/>
          <w:smallCaps/>
          <w:sz w:val="24"/>
        </w:rPr>
      </w:pPr>
      <w:r w:rsidRPr="00104E94">
        <w:rPr>
          <w:rFonts w:ascii="Times New Roman Bold" w:hAnsi="Times New Roman Bold"/>
          <w:b/>
          <w:bCs/>
          <w:smallCaps/>
          <w:sz w:val="24"/>
        </w:rPr>
        <w:t>M</w:t>
      </w:r>
      <w:r w:rsidR="0071722D" w:rsidRPr="00104E94">
        <w:rPr>
          <w:rFonts w:ascii="Times New Roman Bold" w:hAnsi="Times New Roman Bold"/>
          <w:b/>
          <w:bCs/>
          <w:smallCaps/>
          <w:sz w:val="24"/>
        </w:rPr>
        <w:t>iscellaneous</w:t>
      </w:r>
    </w:p>
    <w:p w14:paraId="4118B51A" w14:textId="28002288" w:rsidR="000D2711" w:rsidRDefault="005140B1" w:rsidP="000D2711">
      <w:pPr>
        <w:tabs>
          <w:tab w:val="left" w:pos="2344"/>
        </w:tabs>
        <w:ind w:left="720" w:right="720"/>
        <w:jc w:val="both"/>
      </w:pPr>
      <w:r w:rsidRPr="00C57724">
        <w:rPr>
          <w:bCs/>
          <w:u w:val="single"/>
        </w:rPr>
        <w:t xml:space="preserve">Limitations of </w:t>
      </w:r>
      <w:r w:rsidR="00471D78">
        <w:rPr>
          <w:bCs/>
          <w:u w:val="single"/>
        </w:rPr>
        <w:t xml:space="preserve">Financial Planning and </w:t>
      </w:r>
      <w:r w:rsidR="00473B1D" w:rsidRPr="00C57724">
        <w:rPr>
          <w:bCs/>
          <w:u w:val="single"/>
        </w:rPr>
        <w:t>Non-Investment Consulting/Implementation Services</w:t>
      </w:r>
      <w:r w:rsidR="006C063B" w:rsidRPr="00C57724">
        <w:t xml:space="preserve">. </w:t>
      </w:r>
      <w:r w:rsidR="00A9230B" w:rsidRPr="00A9230B">
        <w:t>To the extent requested by the client, Registrant will generally provide financial planning and related consulting services regarding matters such as tax</w:t>
      </w:r>
      <w:r w:rsidR="001710BE">
        <w:t>,</w:t>
      </w:r>
      <w:r w:rsidR="00A9230B" w:rsidRPr="00A9230B">
        <w:t xml:space="preserve"> estate</w:t>
      </w:r>
      <w:r w:rsidR="001710BE">
        <w:t xml:space="preserve"> and retirement</w:t>
      </w:r>
      <w:r w:rsidR="00A9230B" w:rsidRPr="00A9230B">
        <w:t xml:space="preserve"> planning, insurance, etc. Registrant will generally provide such consulting services inclusive of its advisory fee set forth at Item 5 below (exceptions could occur based upon assets under management, extraordinary matters, special projects, stand-alone planning engagements, etc. for which Firm may charge a separate or additional fee). Please Note</w:t>
      </w:r>
      <w:r w:rsidR="006A5265">
        <w:t>:</w:t>
      </w:r>
      <w:r w:rsidR="00A9230B" w:rsidRPr="00A9230B">
        <w:t xml:space="preserve"> Registrant believes that it is important for the client to address financial planning issues on an ongoing basis. Registrant’s advisory fee, as set forth at Item 5 below, will remain the same regardless of whether the client determines to address financial planning issues with Registrant. Please Also Note: Registrant </w:t>
      </w:r>
      <w:r w:rsidR="00A9230B" w:rsidRPr="00677549">
        <w:rPr>
          <w:b/>
          <w:bCs/>
          <w:u w:val="single"/>
        </w:rPr>
        <w:t>does not</w:t>
      </w:r>
      <w:r w:rsidR="00A9230B" w:rsidRPr="00A9230B">
        <w:t xml:space="preserve"> serve as an attorney, accountant, or insurance agent, and no portion of our services should be construed as same. Accordingly, Registrant does not prepare legal documents or tax returns, does not offer or sell insurance products. To the extent requested by a client, we may recommend the services of other professionals for non-investment implementation purpose (i.e., attorneys, accountants, insurance, etc.). The client is not under any obligation to engage any such professional(s). The client retains absolute discretion over all such implementation decisions and is free to accept or reject any recommendation from Registrant and/or its representatives. If the client engages any professional (i.e., attorney, accountant, insurance agent, etc.), recommended or otherwise, and a dispute arises thereafter relative to such engagement, the engaged professional shall remain exclusively responsible for resolving any such dispute with the client. At all times, the engaged licensed professional(s) (i.e., attorney, accountant, insurance agent, etc.), and not Registrant, shall be responsible for the quality and competency of the services provided. </w:t>
      </w:r>
    </w:p>
    <w:p w14:paraId="37ABB777" w14:textId="77777777" w:rsidR="000653A9" w:rsidRDefault="000653A9" w:rsidP="000D2711">
      <w:pPr>
        <w:tabs>
          <w:tab w:val="left" w:pos="2344"/>
        </w:tabs>
        <w:ind w:left="720" w:right="720"/>
        <w:jc w:val="both"/>
      </w:pPr>
    </w:p>
    <w:p w14:paraId="4253C2C5" w14:textId="5CEEC8BD" w:rsidR="000653A9" w:rsidRPr="00104E94" w:rsidRDefault="000653A9" w:rsidP="000D2711">
      <w:pPr>
        <w:tabs>
          <w:tab w:val="left" w:pos="2344"/>
        </w:tabs>
        <w:ind w:left="720" w:right="720"/>
        <w:jc w:val="both"/>
      </w:pPr>
      <w:r w:rsidRPr="00085F3B">
        <w:rPr>
          <w:u w:val="single"/>
        </w:rPr>
        <w:t>Please Note: Non-Discretionary Service Limitations</w:t>
      </w:r>
      <w:r w:rsidRPr="000653A9">
        <w:t xml:space="preserve">.  </w:t>
      </w:r>
      <w:r w:rsidR="0021272D" w:rsidRPr="001854CD">
        <w:t xml:space="preserve">Clients that </w:t>
      </w:r>
      <w:r w:rsidR="0021272D">
        <w:t>have engaged</w:t>
      </w:r>
      <w:r w:rsidR="0021272D" w:rsidRPr="001854CD">
        <w:t xml:space="preserve"> Registrant on a non-discretionary investment advisory basis </w:t>
      </w:r>
      <w:r w:rsidR="0021272D" w:rsidRPr="001854CD">
        <w:rPr>
          <w:u w:val="single"/>
        </w:rPr>
        <w:t>must be willing to accept</w:t>
      </w:r>
      <w:r w:rsidR="0021272D" w:rsidRPr="001854CD">
        <w:t xml:space="preserve"> that Registrant cannot execute any account transactions without obtaining the client’s prior consent to the transactions. Therefore, if Registrant would like to make a transaction for a client’</w:t>
      </w:r>
      <w:r w:rsidR="0021272D">
        <w:t xml:space="preserve">s account </w:t>
      </w:r>
      <w:r w:rsidR="0021272D" w:rsidRPr="002E4DB3">
        <w:t xml:space="preserve">(including removing a security that the Registrant no longer believes is </w:t>
      </w:r>
      <w:r w:rsidR="0021272D">
        <w:t>appropriate</w:t>
      </w:r>
      <w:r w:rsidR="0021272D" w:rsidRPr="002E4DB3">
        <w:t xml:space="preserve">, adding a security that the Registrant believes is </w:t>
      </w:r>
      <w:r w:rsidR="0021272D">
        <w:t>appropriate</w:t>
      </w:r>
      <w:r w:rsidR="0021272D" w:rsidRPr="002E4DB3">
        <w:t>, or in the event of a correction), and the client is unavailable, Registrant will be unable to execute the account transactions (as it would for its discretionary clients) without first obtaining the client’s consent</w:t>
      </w:r>
      <w:r w:rsidR="0021272D">
        <w:t xml:space="preserve">. </w:t>
      </w:r>
      <w:r w:rsidR="0021272D" w:rsidRPr="00E36629">
        <w:t xml:space="preserve">This may place </w:t>
      </w:r>
      <w:r w:rsidR="0021272D">
        <w:t xml:space="preserve">affected </w:t>
      </w:r>
      <w:r w:rsidR="0021272D" w:rsidRPr="00E36629">
        <w:t>clients at an economic disadvantage.</w:t>
      </w:r>
    </w:p>
    <w:p w14:paraId="6BE88F58" w14:textId="77777777" w:rsidR="001F2318" w:rsidRPr="00104E94" w:rsidRDefault="001F2318">
      <w:pPr>
        <w:rPr>
          <w:b/>
          <w:bCs/>
          <w:u w:val="single"/>
        </w:rPr>
      </w:pPr>
    </w:p>
    <w:p w14:paraId="32FC14B0" w14:textId="095A282C" w:rsidR="00627FC2" w:rsidRDefault="000D2711" w:rsidP="008F5FD4">
      <w:pPr>
        <w:tabs>
          <w:tab w:val="left" w:pos="2344"/>
        </w:tabs>
        <w:ind w:left="720" w:right="720"/>
        <w:jc w:val="both"/>
      </w:pPr>
      <w:r w:rsidRPr="000836ED">
        <w:rPr>
          <w:bCs/>
          <w:u w:val="single"/>
        </w:rPr>
        <w:t>Retirement Plan Rollovers – No Obligation/Conflict of Interest</w:t>
      </w:r>
      <w:r w:rsidRPr="000836ED">
        <w:t xml:space="preserve">. </w:t>
      </w:r>
      <w:r w:rsidR="007E2397" w:rsidRPr="007E2397">
        <w:t>A client or prospective client leaving an employer typically has four options regarding an existing retirement plan (and may engage in a combination of these options): (</w:t>
      </w:r>
      <w:proofErr w:type="spellStart"/>
      <w:r w:rsidR="007E2397" w:rsidRPr="007E2397">
        <w:t>i</w:t>
      </w:r>
      <w:proofErr w:type="spellEnd"/>
      <w:r w:rsidR="007E2397" w:rsidRPr="007E2397">
        <w:t xml:space="preserve">) leave the money in the former employer’s plan, if permitted, (ii) roll over the assets to the new employer’s plan, if one is </w:t>
      </w:r>
      <w:r w:rsidR="007E2397" w:rsidRPr="007E2397">
        <w:lastRenderedPageBreak/>
        <w:t xml:space="preserve">available and rollovers are permitted, (iii) roll over to an Individual Retirement Account (“IRA”), or (iv) cash out the account value (which could, depending upon the client’s age, result in adverse tax consequences). If Registrant recommends that a client roll over their retirement plan assets into an account to be managed by Registrant, such a recommendation creates a conflict of interest if Registrant will earn new (or increase its current) compensation </w:t>
      </w:r>
      <w:r w:rsidR="002F060E" w:rsidRPr="007E2397">
        <w:t>because of</w:t>
      </w:r>
      <w:r w:rsidR="007E2397" w:rsidRPr="007E2397">
        <w:t xml:space="preserve"> the rollover. If Registrant provides a recommendation as to whether a client should engage in a rollover or not (whether it is from an employer’s plan or an existing IRA), Registrant is acting as a fiduciary within the meaning of Title I of the Employee Retirement Income Security Act and/or the Internal Revenue Code, as applicable, which are laws governing retirement accounts. </w:t>
      </w:r>
      <w:r w:rsidRPr="000836ED">
        <w:rPr>
          <w:bCs/>
          <w:u w:val="single"/>
        </w:rPr>
        <w:t>No client is under any obligation to roll over retirement plan assets to an account managed by Registrant. The Registrant</w:t>
      </w:r>
      <w:r w:rsidR="00690BEA" w:rsidRPr="000836ED">
        <w:rPr>
          <w:bCs/>
          <w:u w:val="single"/>
        </w:rPr>
        <w:t>’</w:t>
      </w:r>
      <w:r w:rsidRPr="000836ED">
        <w:rPr>
          <w:bCs/>
          <w:u w:val="single"/>
        </w:rPr>
        <w:t xml:space="preserve">s Chief Compliance Officer, </w:t>
      </w:r>
      <w:r w:rsidR="00D82D6D" w:rsidRPr="00D82D6D">
        <w:rPr>
          <w:bCs/>
          <w:u w:val="single"/>
        </w:rPr>
        <w:t>Richard Cavanagh</w:t>
      </w:r>
      <w:r w:rsidRPr="000836ED">
        <w:rPr>
          <w:bCs/>
          <w:u w:val="single"/>
        </w:rPr>
        <w:t>, remains available to address any questions that a client or prospective client may have regarding the conflict of interest presented by such a rollover recommendation</w:t>
      </w:r>
      <w:r w:rsidRPr="000836ED">
        <w:t>.</w:t>
      </w:r>
    </w:p>
    <w:p w14:paraId="7A37AD46" w14:textId="77777777" w:rsidR="00627FC2" w:rsidRPr="008F5FD4" w:rsidRDefault="00627FC2" w:rsidP="00627FC2">
      <w:pPr>
        <w:tabs>
          <w:tab w:val="left" w:pos="2344"/>
        </w:tabs>
        <w:ind w:left="720" w:right="720"/>
        <w:jc w:val="both"/>
      </w:pPr>
    </w:p>
    <w:p w14:paraId="6ED74F49" w14:textId="0C6934FE" w:rsidR="000836ED" w:rsidRDefault="000836ED" w:rsidP="000836ED">
      <w:pPr>
        <w:ind w:left="720" w:right="720"/>
        <w:jc w:val="both"/>
      </w:pPr>
      <w:r w:rsidRPr="000836ED">
        <w:rPr>
          <w:bCs/>
          <w:u w:val="single"/>
        </w:rPr>
        <w:t xml:space="preserve">Availability </w:t>
      </w:r>
      <w:r w:rsidR="00FB0942" w:rsidRPr="000836ED">
        <w:rPr>
          <w:bCs/>
          <w:u w:val="single"/>
        </w:rPr>
        <w:t>of Mutual Funds</w:t>
      </w:r>
      <w:r w:rsidR="00876C34" w:rsidRPr="000836ED">
        <w:rPr>
          <w:bCs/>
          <w:u w:val="single"/>
        </w:rPr>
        <w:t xml:space="preserve"> and Exchange Traded Funds</w:t>
      </w:r>
      <w:r w:rsidR="00FB0942" w:rsidRPr="000836ED">
        <w:rPr>
          <w:bCs/>
        </w:rPr>
        <w:t xml:space="preserve">. </w:t>
      </w:r>
      <w:r w:rsidR="00F17F0B" w:rsidRPr="000836ED">
        <w:rPr>
          <w:bCs/>
        </w:rPr>
        <w:t xml:space="preserve">While the Registrant may </w:t>
      </w:r>
      <w:r w:rsidR="00F17F0B" w:rsidRPr="00F17F0B">
        <w:rPr>
          <w:bCs/>
        </w:rPr>
        <w:t xml:space="preserve">allocate investment assets to mutual funds and </w:t>
      </w:r>
      <w:r>
        <w:rPr>
          <w:bCs/>
        </w:rPr>
        <w:t>ETFs</w:t>
      </w:r>
      <w:r w:rsidR="00F17F0B" w:rsidRPr="00F17F0B">
        <w:rPr>
          <w:bCs/>
        </w:rPr>
        <w:t xml:space="preserve"> that are not available directly to the public, the Registrant may also allocate investment assets to </w:t>
      </w:r>
      <w:r w:rsidR="002F060E" w:rsidRPr="00F17F0B">
        <w:rPr>
          <w:bCs/>
        </w:rPr>
        <w:t>publicly available</w:t>
      </w:r>
      <w:r w:rsidR="00F17F0B" w:rsidRPr="00F17F0B">
        <w:rPr>
          <w:bCs/>
        </w:rPr>
        <w:t xml:space="preserve"> mutual funds and ETFs that the client could purchase without engaging Registrant as an investment adviser. However, if a client or prospective client determines to purchase </w:t>
      </w:r>
      <w:r w:rsidR="002F060E" w:rsidRPr="00F17F0B">
        <w:rPr>
          <w:bCs/>
        </w:rPr>
        <w:t>publicly available</w:t>
      </w:r>
      <w:r w:rsidR="00F17F0B" w:rsidRPr="00F17F0B">
        <w:rPr>
          <w:bCs/>
        </w:rPr>
        <w:t xml:space="preserve"> mutual funds or ETFs without engaging Registrant as an investment adviser, the client or prospective client would not receive the benefit of Registrant’s initial and ongoing investment advisory services with respect to management of the asset. </w:t>
      </w:r>
      <w:r w:rsidR="005B1A7B" w:rsidRPr="00104E94">
        <w:t xml:space="preserve">In addition to Registrant’s investment advisory fee and transaction and/or custodial fees discussed below, clients will also incur, relative to all mutual fund and </w:t>
      </w:r>
      <w:r w:rsidR="00F17F0B">
        <w:t>ETF</w:t>
      </w:r>
      <w:r w:rsidR="005B1A7B" w:rsidRPr="00104E94">
        <w:t xml:space="preserve"> purchases, charges imposed at the fund level (e.g.</w:t>
      </w:r>
      <w:r w:rsidR="00257F43">
        <w:t>,</w:t>
      </w:r>
      <w:r w:rsidR="005B1A7B" w:rsidRPr="00104E94">
        <w:t xml:space="preserve"> management fees and other fund expenses).</w:t>
      </w:r>
    </w:p>
    <w:p w14:paraId="46777B61" w14:textId="682E6596" w:rsidR="00BF0DEC" w:rsidRDefault="00BF0DEC" w:rsidP="000836ED">
      <w:pPr>
        <w:ind w:left="720" w:right="720"/>
        <w:jc w:val="both"/>
        <w:rPr>
          <w:bCs/>
        </w:rPr>
      </w:pPr>
    </w:p>
    <w:p w14:paraId="56FC1A3C" w14:textId="3B22ADE5" w:rsidR="00BF0DEC" w:rsidRDefault="00BF0DEC" w:rsidP="000836ED">
      <w:pPr>
        <w:ind w:left="720" w:right="720"/>
        <w:jc w:val="both"/>
      </w:pPr>
      <w:r w:rsidRPr="00677549">
        <w:rPr>
          <w:u w:val="single"/>
        </w:rPr>
        <w:t>Socially Responsible Investing Limitations</w:t>
      </w:r>
      <w:r w:rsidRPr="00F66E56">
        <w:t xml:space="preserve">. </w:t>
      </w:r>
      <w:r w:rsidR="00471D78" w:rsidRPr="00471D78">
        <w:t xml:space="preserve">Socially Responsible Investing involves the incorporation of Environmental, Social and Governance (“ESG”) considerations into the investment due diligence process. ESG investing incorporates a set of criteria/factors used in evaluating potential investments: Environmental (i.e., considers how a company safeguards the environment); Social (i.e., the </w:t>
      </w:r>
      <w:r w:rsidR="002F060E" w:rsidRPr="00471D78">
        <w:t>way</w:t>
      </w:r>
      <w:r w:rsidR="00471D78" w:rsidRPr="00471D78">
        <w:t xml:space="preserve"> a company manages relationships with its employees, customers, and the communities in which it operates); and Governance (i.e., company management considerations). The number of companies that maintain an acceptable ESG mandate can be limited when compared to those that do not and could underperform broad market indices. Investors must accept these limitations, including potential for underperformance. Correspondingly, the number of ESG mutual funds and exchange-traded funds are limited when compared to those that do not maintain such a mandate. As with any type of investment (including any investment and/or investment strategies recommended and/or undertaken by the Registrant), there can be no assurance that investment in ESG securities or funds will be profitable or prove successful.  The Registrant does not maintain or advocate an ESG investment strategy but will seek to employ ESG if directed by a client to do so.</w:t>
      </w:r>
    </w:p>
    <w:p w14:paraId="3C63F6E8" w14:textId="30169ED0" w:rsidR="00BF0DEC" w:rsidRDefault="00BF0DEC" w:rsidP="000836ED">
      <w:pPr>
        <w:ind w:left="720" w:right="720"/>
        <w:jc w:val="both"/>
        <w:rPr>
          <w:bCs/>
        </w:rPr>
      </w:pPr>
    </w:p>
    <w:p w14:paraId="6ED7706B" w14:textId="3C75F7D1" w:rsidR="00BF0DEC" w:rsidRPr="00BF0DEC" w:rsidRDefault="00BF0DEC" w:rsidP="000836ED">
      <w:pPr>
        <w:ind w:left="720" w:right="720"/>
        <w:jc w:val="both"/>
        <w:rPr>
          <w:bCs/>
        </w:rPr>
      </w:pPr>
      <w:r w:rsidRPr="00677549">
        <w:rPr>
          <w:u w:val="single"/>
        </w:rPr>
        <w:t>Cryptocurrency</w:t>
      </w:r>
      <w:r w:rsidR="00180F1B" w:rsidRPr="00677549">
        <w:rPr>
          <w:u w:val="single"/>
        </w:rPr>
        <w:t xml:space="preserve"> and Digital Assets</w:t>
      </w:r>
      <w:r w:rsidRPr="00BF0DEC">
        <w:t xml:space="preserve">: </w:t>
      </w:r>
      <w:r w:rsidR="00180F1B" w:rsidRPr="00037B78">
        <w:t>For clients who want exposure to cryptocurrencies</w:t>
      </w:r>
      <w:r w:rsidR="00180F1B">
        <w:t xml:space="preserve"> and digital assets</w:t>
      </w:r>
      <w:r w:rsidR="00180F1B" w:rsidRPr="00037B78">
        <w:t>, including Bitcoin, the Registrant will advise the client to consider a potential investment in corresponding exchange traded securities, or an allocation to separate account managers and/or private funds that provide cryptocurrency exposure.</w:t>
      </w:r>
      <w:r w:rsidR="00180F1B">
        <w:t xml:space="preserve"> </w:t>
      </w:r>
      <w:r w:rsidR="00180F1B" w:rsidRPr="00037B78">
        <w:t>Crypto</w:t>
      </w:r>
      <w:r w:rsidR="00180F1B">
        <w:t>currencies</w:t>
      </w:r>
      <w:r w:rsidR="00180F1B" w:rsidRPr="00037B78">
        <w:t xml:space="preserve"> </w:t>
      </w:r>
      <w:r w:rsidR="00180F1B">
        <w:t xml:space="preserve">are </w:t>
      </w:r>
      <w:r w:rsidR="00180F1B" w:rsidRPr="00037B78">
        <w:rPr>
          <w:shd w:val="clear" w:color="auto" w:fill="FFFFFF"/>
        </w:rPr>
        <w:t xml:space="preserve">digital </w:t>
      </w:r>
      <w:r w:rsidR="00180F1B">
        <w:rPr>
          <w:shd w:val="clear" w:color="auto" w:fill="FFFFFF"/>
        </w:rPr>
        <w:t xml:space="preserve">assets </w:t>
      </w:r>
      <w:r w:rsidR="00180F1B" w:rsidRPr="00037B78">
        <w:rPr>
          <w:shd w:val="clear" w:color="auto" w:fill="FFFFFF"/>
        </w:rPr>
        <w:t xml:space="preserve">that can be used to buy goods and services and use an online ledger with strong cryptography (i.e., a method of protecting information and communications </w:t>
      </w:r>
      <w:r w:rsidR="006F5725" w:rsidRPr="00037B78">
        <w:rPr>
          <w:shd w:val="clear" w:color="auto" w:fill="FFFFFF"/>
        </w:rPr>
        <w:t>using</w:t>
      </w:r>
      <w:r w:rsidR="00180F1B" w:rsidRPr="00037B78">
        <w:rPr>
          <w:shd w:val="clear" w:color="auto" w:fill="FFFFFF"/>
        </w:rPr>
        <w:t xml:space="preserve"> codes) to secure online transactions. Unlike conventional currencies </w:t>
      </w:r>
      <w:r w:rsidR="00180F1B" w:rsidRPr="00037B78">
        <w:rPr>
          <w:shd w:val="clear" w:color="auto" w:fill="FFFFFF"/>
        </w:rPr>
        <w:lastRenderedPageBreak/>
        <w:t>issued by a monetary authority, cryptocurrencies are generally not controlled or regulated, and their price is determined by the supply and demand of their market.</w:t>
      </w:r>
      <w:r w:rsidR="00180F1B">
        <w:rPr>
          <w:shd w:val="clear" w:color="auto" w:fill="FFFFFF"/>
        </w:rPr>
        <w:t xml:space="preserve"> </w:t>
      </w:r>
      <w:r w:rsidR="00180F1B" w:rsidRPr="00037B78">
        <w:rPr>
          <w:shd w:val="clear" w:color="auto" w:fill="FFFFFF"/>
        </w:rPr>
        <w:t xml:space="preserve">Because cryptocurrency is currently considered to be a speculative investment, the Registrant will not exercise discretionary authority to purchase a </w:t>
      </w:r>
      <w:r w:rsidR="00180F1B" w:rsidRPr="00037B78">
        <w:t xml:space="preserve">cryptocurrency investment for client accounts. Rather, a client must expressly authorize the purchase of the cryptocurrency investment. </w:t>
      </w:r>
      <w:r w:rsidR="00180F1B" w:rsidRPr="00037B78">
        <w:rPr>
          <w:b/>
          <w:bCs/>
          <w:u w:val="single"/>
        </w:rPr>
        <w:t>Please Note</w:t>
      </w:r>
      <w:r w:rsidR="00180F1B" w:rsidRPr="00037B78">
        <w:t xml:space="preserve">: The Registrant </w:t>
      </w:r>
      <w:r w:rsidR="00180F1B" w:rsidRPr="00037B78">
        <w:rPr>
          <w:b/>
          <w:bCs/>
        </w:rPr>
        <w:t>does not</w:t>
      </w:r>
      <w:r w:rsidR="00180F1B" w:rsidRPr="00037B78">
        <w:t xml:space="preserve"> recommend or advocate the purchase of, or investment in, cryptocurrencies. The Registrant considers such an investment to be </w:t>
      </w:r>
      <w:r w:rsidR="00180F1B" w:rsidRPr="00037B78">
        <w:rPr>
          <w:b/>
          <w:bCs/>
        </w:rPr>
        <w:t xml:space="preserve">speculative. </w:t>
      </w:r>
      <w:r w:rsidR="00180F1B" w:rsidRPr="00037B78">
        <w:rPr>
          <w:b/>
          <w:bCs/>
          <w:u w:val="single"/>
        </w:rPr>
        <w:t>Please Also Note</w:t>
      </w:r>
      <w:r w:rsidR="00180F1B" w:rsidRPr="00037B78">
        <w:t xml:space="preserve">: Clients who authorize the purchase of a cryptocurrency investment must be prepared for the potential for </w:t>
      </w:r>
      <w:r w:rsidR="00180F1B" w:rsidRPr="00037B78">
        <w:rPr>
          <w:b/>
          <w:bCs/>
          <w:u w:val="single"/>
        </w:rPr>
        <w:t>liquidity constraints, extreme price volatility and complete loss of principal</w:t>
      </w:r>
      <w:r w:rsidR="00180F1B" w:rsidRPr="00037B78">
        <w:rPr>
          <w:b/>
          <w:bCs/>
        </w:rPr>
        <w:t>.</w:t>
      </w:r>
      <w:r w:rsidR="00180F1B" w:rsidRPr="00037B78">
        <w:t xml:space="preserve"> </w:t>
      </w:r>
    </w:p>
    <w:p w14:paraId="180AECBA" w14:textId="77777777" w:rsidR="006474BD" w:rsidRPr="00104E94" w:rsidRDefault="006474BD" w:rsidP="00085F3B">
      <w:pPr>
        <w:ind w:right="720"/>
        <w:jc w:val="both"/>
        <w:rPr>
          <w:b/>
          <w:bCs/>
          <w:u w:val="single"/>
        </w:rPr>
      </w:pPr>
    </w:p>
    <w:p w14:paraId="762869B8" w14:textId="3B455A7A" w:rsidR="00473B1D" w:rsidRPr="000836ED" w:rsidRDefault="005D3398">
      <w:pPr>
        <w:ind w:left="720" w:right="720"/>
        <w:jc w:val="both"/>
      </w:pPr>
      <w:r w:rsidRPr="00AF5171">
        <w:rPr>
          <w:bCs/>
          <w:u w:val="single"/>
        </w:rPr>
        <w:t>Client Obligations</w:t>
      </w:r>
      <w:r w:rsidRPr="00AF5171">
        <w:rPr>
          <w:bCs/>
        </w:rPr>
        <w:t xml:space="preserve">. In performing its services, Registrant will not be required to verify any information received from the client or from the client’s other </w:t>
      </w:r>
      <w:r w:rsidR="00C26989" w:rsidRPr="00AF5171">
        <w:rPr>
          <w:bCs/>
        </w:rPr>
        <w:t>professionals and</w:t>
      </w:r>
      <w:r w:rsidRPr="00AF5171">
        <w:rPr>
          <w:bCs/>
        </w:rPr>
        <w:t xml:space="preserve"> is expressly authorized to rely thereon. Clients maintain responsibility to promptly notify the Registrant if there is ever any change in their financial situation or investment objectives for the purpose of reviewing, evaluating, or revising Registrant’s previous recommendations or services.</w:t>
      </w:r>
      <w:r w:rsidR="00473B1D" w:rsidRPr="000836ED">
        <w:t xml:space="preserve"> </w:t>
      </w:r>
    </w:p>
    <w:p w14:paraId="076CA2FF" w14:textId="77777777" w:rsidR="006D734D" w:rsidRPr="000836ED" w:rsidRDefault="006D734D">
      <w:pPr>
        <w:rPr>
          <w:bCs/>
          <w:u w:val="single"/>
        </w:rPr>
      </w:pPr>
    </w:p>
    <w:p w14:paraId="6DB5BA85" w14:textId="533332E7" w:rsidR="00834403" w:rsidRDefault="004242B5" w:rsidP="00834403">
      <w:pPr>
        <w:pStyle w:val="Header"/>
        <w:tabs>
          <w:tab w:val="clear" w:pos="9360"/>
        </w:tabs>
        <w:ind w:left="720" w:right="720"/>
        <w:jc w:val="both"/>
      </w:pPr>
      <w:r w:rsidRPr="000836ED">
        <w:rPr>
          <w:bCs/>
          <w:u w:val="single"/>
        </w:rPr>
        <w:t>Investment Risk</w:t>
      </w:r>
      <w:r w:rsidRPr="000836ED">
        <w:t>. Different types of investments involve varying degrees of risk, and it should not be assumed that future performance of any specific investment or investment strategy (including the investments and/or investment strategies recommended or undertaken by Registrant) will be profitable or equal an</w:t>
      </w:r>
      <w:r w:rsidR="000D2711" w:rsidRPr="000836ED">
        <w:t xml:space="preserve">y specific performance </w:t>
      </w:r>
      <w:r w:rsidR="00BB2DF1" w:rsidRPr="000836ED">
        <w:t>level</w:t>
      </w:r>
      <w:r w:rsidR="00834403">
        <w:t>.</w:t>
      </w:r>
    </w:p>
    <w:p w14:paraId="6E3498EA" w14:textId="014CFC8B" w:rsidR="005D3398" w:rsidRDefault="005D3398" w:rsidP="00834403">
      <w:pPr>
        <w:pStyle w:val="Header"/>
        <w:tabs>
          <w:tab w:val="clear" w:pos="9360"/>
        </w:tabs>
        <w:ind w:left="720" w:right="720"/>
        <w:jc w:val="both"/>
      </w:pPr>
    </w:p>
    <w:p w14:paraId="6FC16EC2" w14:textId="7D63D7CC" w:rsidR="00834403" w:rsidRDefault="005D3398" w:rsidP="005D3398">
      <w:pPr>
        <w:pStyle w:val="Header"/>
        <w:tabs>
          <w:tab w:val="clear" w:pos="9360"/>
        </w:tabs>
        <w:ind w:left="720" w:right="720"/>
        <w:jc w:val="both"/>
      </w:pPr>
      <w:r w:rsidRPr="00CD70BF">
        <w:rPr>
          <w:u w:val="single"/>
        </w:rPr>
        <w:t>Cybersecurity Risk</w:t>
      </w:r>
      <w:r w:rsidRPr="00CD70BF">
        <w:t xml:space="preserve">. </w:t>
      </w:r>
      <w:r w:rsidR="007A4E64" w:rsidRPr="00085F3B">
        <w:t>The information technology systems and networks that Registrant and its third-party service providers use to provide services to Registrant’s clients employ various controls, which are designed to prevent cybersecurity incidents stemming from intentional or unintentional actions that could cause significant interruptions in Registrant’s operations and result in the unauthorized acquisition or use of clients’ confidential or non-public personal information. Clients and Registrant are nonetheless subject to the risk of cybersecurity incidents that could ultimately cause them to incur losses, including for example: financial losses, cost and reputational damage to respond to regulatory obligations, other costs associated with corrective measures, and loss from damage or interruption to systems. Although Registrant has established processes to reduce the risk of cybersecurity incidents, there is no guarantee that these efforts will always be successful, especially considering that Registrant does not directly control the cybersecurity measures and pol</w:t>
      </w:r>
      <w:r w:rsidR="00932FAC">
        <w:t>/</w:t>
      </w:r>
      <w:proofErr w:type="spellStart"/>
      <w:r w:rsidR="007A4E64" w:rsidRPr="00085F3B">
        <w:t>icies</w:t>
      </w:r>
      <w:proofErr w:type="spellEnd"/>
      <w:r w:rsidR="007A4E64" w:rsidRPr="00085F3B">
        <w:t xml:space="preserve"> employed by third-party service providers. Clients could incur similar adverse consequences resulting from cybersecurity incidents that more directly affect issuers of securities in which those clients invest, broker-dealers, qualified custodians, governmental and other regulatory authorities, exchange and other financial market operators, or other financial institutions.</w:t>
      </w:r>
    </w:p>
    <w:p w14:paraId="2608D2F3" w14:textId="77777777" w:rsidR="00BF0DEC" w:rsidRPr="005D3398" w:rsidRDefault="00BF0DEC" w:rsidP="005D3398">
      <w:pPr>
        <w:pStyle w:val="Header"/>
        <w:tabs>
          <w:tab w:val="clear" w:pos="9360"/>
        </w:tabs>
        <w:ind w:left="720" w:right="720"/>
        <w:jc w:val="both"/>
      </w:pPr>
    </w:p>
    <w:p w14:paraId="2906DD35" w14:textId="40AAC41E" w:rsidR="005D3398" w:rsidRDefault="005D3398" w:rsidP="005D3398">
      <w:pPr>
        <w:pStyle w:val="Header"/>
        <w:tabs>
          <w:tab w:val="clear" w:pos="9360"/>
        </w:tabs>
        <w:ind w:left="720" w:right="720"/>
        <w:jc w:val="both"/>
      </w:pPr>
      <w:r w:rsidRPr="008F2352">
        <w:rPr>
          <w:u w:val="single"/>
        </w:rPr>
        <w:t>Portfolio Activity</w:t>
      </w:r>
      <w:r w:rsidRPr="008F2352">
        <w:t xml:space="preserve">. </w:t>
      </w:r>
      <w:r w:rsidR="0021272D" w:rsidRPr="0099128D">
        <w:t>Registrant</w:t>
      </w:r>
      <w:r w:rsidR="0021272D" w:rsidRPr="0099128D">
        <w:rPr>
          <w:b/>
          <w:bCs/>
        </w:rPr>
        <w:t xml:space="preserve"> </w:t>
      </w:r>
      <w:r w:rsidR="0021272D" w:rsidRPr="0099128D">
        <w:t xml:space="preserve">has a fiduciary duty to provide services consistent with the client’s best interest. Registrant will review client portfolios on an ongoing basis to determine if any changes are necessary based upon various factors, including, but not limited to, investment performance, market conditions, fund manager tenure, style drift, account additions/withdrawals, and/or a change in the client’s investment objective. Based upon these factors, there may be extended periods when Registrant determines that changes to a client’s portfolio are </w:t>
      </w:r>
      <w:r w:rsidR="0021272D">
        <w:t>unnecessary</w:t>
      </w:r>
      <w:r w:rsidR="0021272D" w:rsidRPr="0099128D">
        <w:t xml:space="preserve">. Clients remain subject to the fees described in Item 5 below during periods of </w:t>
      </w:r>
      <w:r w:rsidR="0021272D">
        <w:t xml:space="preserve">portfolio </w:t>
      </w:r>
      <w:r w:rsidR="0021272D" w:rsidRPr="0099128D">
        <w:t>inactivity. Of course, as indicated below, there can be no assurance that investment decisions made by the Registrant will be profitable or equal any specific performance level(s).</w:t>
      </w:r>
    </w:p>
    <w:p w14:paraId="2F922DD1" w14:textId="77777777" w:rsidR="005D3398" w:rsidRDefault="005D3398" w:rsidP="005D3398">
      <w:pPr>
        <w:pStyle w:val="Header"/>
        <w:tabs>
          <w:tab w:val="clear" w:pos="9360"/>
        </w:tabs>
        <w:ind w:left="720" w:right="720"/>
        <w:jc w:val="both"/>
        <w:rPr>
          <w:u w:val="single"/>
        </w:rPr>
      </w:pPr>
    </w:p>
    <w:p w14:paraId="1729AA40" w14:textId="3BCC55E2" w:rsidR="008F5FD4" w:rsidRDefault="005D3398" w:rsidP="005D3398">
      <w:pPr>
        <w:pStyle w:val="Header"/>
        <w:tabs>
          <w:tab w:val="clear" w:pos="9360"/>
        </w:tabs>
        <w:ind w:left="720" w:right="720"/>
        <w:jc w:val="both"/>
      </w:pPr>
      <w:r w:rsidRPr="00EA2E59">
        <w:rPr>
          <w:u w:val="single"/>
        </w:rPr>
        <w:t>Cash Positions</w:t>
      </w:r>
      <w:r w:rsidRPr="00EA2E59">
        <w:t xml:space="preserve">. </w:t>
      </w:r>
      <w:r w:rsidR="00BF0DEC">
        <w:t xml:space="preserve">Registrant </w:t>
      </w:r>
      <w:r w:rsidR="00BF0DEC" w:rsidRPr="00F66E56">
        <w:t xml:space="preserve">continues to treat cash as an asset class. As such, unless determined to the contrary by </w:t>
      </w:r>
      <w:r w:rsidR="00BF0DEC">
        <w:t>Registrant</w:t>
      </w:r>
      <w:r w:rsidR="00BF0DEC" w:rsidRPr="00F66E56">
        <w:t xml:space="preserve">, all cash positions (money markets, etc.) shall continue to be included as part of assets under management for purposes of calculating </w:t>
      </w:r>
      <w:r w:rsidR="00BF0DEC">
        <w:t>Registrant’s</w:t>
      </w:r>
      <w:r w:rsidR="00BF0DEC" w:rsidRPr="00F66E56">
        <w:t xml:space="preserve"> advisory fee. At any specific point in time, depending upon perceived or anticipated market conditions/events (there being </w:t>
      </w:r>
      <w:r w:rsidR="00BF0DEC" w:rsidRPr="00F66E56">
        <w:rPr>
          <w:b/>
          <w:bCs/>
        </w:rPr>
        <w:t>no guarantee</w:t>
      </w:r>
      <w:r w:rsidR="00BF0DEC" w:rsidRPr="00F66E56">
        <w:t xml:space="preserve"> that such anticipated market conditions/events will occur),</w:t>
      </w:r>
      <w:r w:rsidR="00BF0DEC" w:rsidRPr="00F66E56">
        <w:rPr>
          <w:b/>
          <w:bCs/>
        </w:rPr>
        <w:t xml:space="preserve"> </w:t>
      </w:r>
      <w:r w:rsidR="00BF0DEC">
        <w:t xml:space="preserve">Registrant </w:t>
      </w:r>
      <w:r w:rsidR="00BF0DEC" w:rsidRPr="00F66E56">
        <w:t xml:space="preserve">may maintain cash positions for defensive purposes. In addition, while assets are maintained in cash, such amounts could miss market advances. Depending upon current yields, at any point in time, </w:t>
      </w:r>
      <w:r w:rsidR="00BF0DEC">
        <w:t>Registrant’s</w:t>
      </w:r>
      <w:r w:rsidR="00BF0DEC" w:rsidRPr="00F66E56">
        <w:t xml:space="preserve"> advisory fee could exceed the interest paid by the client’s money market fund</w:t>
      </w:r>
      <w:r w:rsidRPr="00EA2E59">
        <w:t>.</w:t>
      </w:r>
    </w:p>
    <w:p w14:paraId="2907A2C2" w14:textId="24FBB648" w:rsidR="00113382" w:rsidRDefault="00113382" w:rsidP="005D3398">
      <w:pPr>
        <w:pStyle w:val="Header"/>
        <w:tabs>
          <w:tab w:val="clear" w:pos="9360"/>
        </w:tabs>
        <w:ind w:left="720" w:right="720"/>
        <w:jc w:val="both"/>
      </w:pPr>
    </w:p>
    <w:p w14:paraId="678CBEC5" w14:textId="185F78BE" w:rsidR="00113382" w:rsidRPr="005D3398" w:rsidRDefault="00113382" w:rsidP="005D3398">
      <w:pPr>
        <w:pStyle w:val="Header"/>
        <w:tabs>
          <w:tab w:val="clear" w:pos="9360"/>
        </w:tabs>
        <w:ind w:left="720" w:right="720"/>
        <w:jc w:val="both"/>
      </w:pPr>
      <w:r w:rsidRPr="00677549">
        <w:rPr>
          <w:u w:val="single"/>
        </w:rPr>
        <w:t>Cash Sweep Accounts.</w:t>
      </w:r>
      <w:r w:rsidRPr="00113382">
        <w:t xml:space="preserve"> </w:t>
      </w:r>
      <w:r w:rsidR="00AC2848" w:rsidRPr="00AC2848">
        <w:t xml:space="preserve">Certain account custodians can require that cash proceeds from account transactions or new deposits, be swept to and/or initially maintained in a specific custodian designated sweep account. The yield on the sweep account will generally be lower than those available for other money market accounts. When this occurs, to help mitigate the corresponding yield dispersion, Registrant shall (usually within 30 days thereafter) generally (with exceptions) purchase a higher yielding money market fund (or other type security) available on the custodian’s platform, unless Registrant reasonably anticipates that it will utilize the cash proceeds during the subsequent 30-day period to purchase additional investments for the client’s account. Exceptions and/or modifications can and will occur with respect to all or a portion of the cash balances for various reasons, including, but not limited to the amount of dispersion between the sweep account and a money market fund, the size of the cash balance, an indication from the client of an imminent need for such cash, or the client has a demonstrated history of writing checks from the account. Please Note: The above does not apply to the cash component maintained within a Registrant actively managed investment strategy (the cash balances for which shall generally remain in the custodian designated cash sweep account), an indication from the client of a need for access to such cash, assets allocated to an unaffiliated investment manager, and cash balances maintained for fee billing purposes. Please Also Note: The client shall remain exclusively responsible for yield dispersion/cash balance decisions and corresponding transactions for cash balances maintained in any Registrant unmanaged accounts. </w:t>
      </w:r>
      <w:r w:rsidRPr="00677549">
        <w:rPr>
          <w:u w:val="single"/>
        </w:rPr>
        <w:t xml:space="preserve">Registrant’s Chief Compliance Officer, </w:t>
      </w:r>
      <w:r>
        <w:rPr>
          <w:u w:val="single"/>
        </w:rPr>
        <w:t>Richard Cavanagh</w:t>
      </w:r>
      <w:r w:rsidRPr="00677549">
        <w:rPr>
          <w:u w:val="single"/>
        </w:rPr>
        <w:t>, remains available to address any questions that a client or prospective client may have regarding the above.</w:t>
      </w:r>
    </w:p>
    <w:p w14:paraId="3EEC8C99" w14:textId="7DFECDF6" w:rsidR="005D3398" w:rsidRDefault="005D3398" w:rsidP="00834403">
      <w:pPr>
        <w:pStyle w:val="Header"/>
        <w:tabs>
          <w:tab w:val="clear" w:pos="9360"/>
        </w:tabs>
        <w:ind w:left="720" w:right="720"/>
        <w:jc w:val="both"/>
        <w:rPr>
          <w:bCs/>
          <w:u w:val="single"/>
        </w:rPr>
      </w:pPr>
    </w:p>
    <w:p w14:paraId="66981CDC" w14:textId="21A7DB5B" w:rsidR="00AC2848" w:rsidRDefault="00AC2848" w:rsidP="00834403">
      <w:pPr>
        <w:pStyle w:val="Header"/>
        <w:tabs>
          <w:tab w:val="clear" w:pos="9360"/>
        </w:tabs>
        <w:ind w:left="720" w:right="720"/>
        <w:jc w:val="both"/>
        <w:rPr>
          <w:bCs/>
          <w:u w:val="single"/>
        </w:rPr>
      </w:pPr>
      <w:r w:rsidRPr="00AC2848">
        <w:rPr>
          <w:bCs/>
          <w:u w:val="single"/>
        </w:rPr>
        <w:t>Portfolio Activity.</w:t>
      </w:r>
      <w:r w:rsidRPr="00085F3B">
        <w:rPr>
          <w:bCs/>
        </w:rPr>
        <w:t xml:space="preserve"> Registrant has a fiduciary duty to provide services consistent with the client’s best interest. Registrant will review client portfolios on an ongoing basis to determine if any changes are necessary based upon various factors, including, but not limited to, investment performance, market conditions, fund manager tenure, style drift, account additions/withdrawals, and/or a change in the client’s investment objective. Based upon these factors, there may be extended periods when Registrant determines that changes to a client’s portfolio are unnecessary. Clients remain subject to the fees described in Item 5 below during periods of portfolio inactivity. Of course, as indicated below, there can be no assurance that investment decisions made by the Registrant will be profitable or equal any specific performance level(s).</w:t>
      </w:r>
    </w:p>
    <w:p w14:paraId="560ADABC" w14:textId="77777777" w:rsidR="00AC2848" w:rsidRDefault="00AC2848" w:rsidP="00834403">
      <w:pPr>
        <w:pStyle w:val="Header"/>
        <w:tabs>
          <w:tab w:val="clear" w:pos="9360"/>
        </w:tabs>
        <w:ind w:left="720" w:right="720"/>
        <w:jc w:val="both"/>
        <w:rPr>
          <w:bCs/>
          <w:u w:val="single"/>
        </w:rPr>
      </w:pPr>
    </w:p>
    <w:p w14:paraId="0C47AEF0" w14:textId="77777777" w:rsidR="00AC2848" w:rsidRDefault="00EE7E09" w:rsidP="00AC2848">
      <w:pPr>
        <w:pStyle w:val="BodyText"/>
        <w:ind w:right="829" w:firstLine="720"/>
        <w:jc w:val="both"/>
        <w:rPr>
          <w:color w:val="000000"/>
        </w:rPr>
      </w:pPr>
      <w:r w:rsidRPr="00EE7E09">
        <w:rPr>
          <w:bCs/>
          <w:u w:val="single"/>
        </w:rPr>
        <w:t>Other Assets</w:t>
      </w:r>
      <w:r w:rsidRPr="00677549">
        <w:rPr>
          <w:bCs/>
        </w:rPr>
        <w:t xml:space="preserve">. </w:t>
      </w:r>
      <w:r w:rsidR="00AC2848" w:rsidRPr="00085F3B">
        <w:rPr>
          <w:color w:val="000000"/>
        </w:rPr>
        <w:t>A client may:</w:t>
      </w:r>
    </w:p>
    <w:p w14:paraId="350EE72F" w14:textId="73639FF1" w:rsidR="00AC2848" w:rsidRPr="008A42FC" w:rsidRDefault="00AC2848" w:rsidP="00AC2848">
      <w:pPr>
        <w:pStyle w:val="BodyText"/>
        <w:widowControl w:val="0"/>
        <w:numPr>
          <w:ilvl w:val="0"/>
          <w:numId w:val="34"/>
        </w:numPr>
        <w:autoSpaceDE w:val="0"/>
        <w:autoSpaceDN w:val="0"/>
        <w:spacing w:after="0"/>
        <w:ind w:right="829"/>
        <w:jc w:val="both"/>
        <w:rPr>
          <w:color w:val="212121"/>
          <w:shd w:val="clear" w:color="auto" w:fill="FFFFFF"/>
        </w:rPr>
      </w:pPr>
      <w:r w:rsidRPr="00724C5C">
        <w:rPr>
          <w:color w:val="000000"/>
        </w:rPr>
        <w:t>hold securities that were purchased at the request of the</w:t>
      </w:r>
      <w:r w:rsidRPr="00486E09">
        <w:rPr>
          <w:color w:val="000000"/>
        </w:rPr>
        <w:t> </w:t>
      </w:r>
      <w:r w:rsidRPr="00724C5C">
        <w:rPr>
          <w:color w:val="000000"/>
        </w:rPr>
        <w:t>client or acquired prior to the client’s engagement of the Registrant.</w:t>
      </w:r>
      <w:r w:rsidRPr="00486E09">
        <w:rPr>
          <w:color w:val="000000"/>
        </w:rPr>
        <w:t> </w:t>
      </w:r>
      <w:r w:rsidRPr="00724C5C">
        <w:rPr>
          <w:color w:val="000000"/>
        </w:rPr>
        <w:t>Generally</w:t>
      </w:r>
      <w:r w:rsidRPr="00486E09">
        <w:rPr>
          <w:color w:val="000000"/>
        </w:rPr>
        <w:t>, </w:t>
      </w:r>
      <w:r w:rsidRPr="00724C5C">
        <w:rPr>
          <w:color w:val="000000"/>
        </w:rPr>
        <w:t>with potential exceptions</w:t>
      </w:r>
      <w:r w:rsidRPr="00486E09">
        <w:rPr>
          <w:color w:val="000000"/>
        </w:rPr>
        <w:t>, </w:t>
      </w:r>
      <w:r w:rsidRPr="00724C5C">
        <w:rPr>
          <w:color w:val="000000"/>
          <w:shd w:val="clear" w:color="auto" w:fill="FFFFFF"/>
        </w:rPr>
        <w:t xml:space="preserve">the Registrant does not/would not recommend nor follow such </w:t>
      </w:r>
      <w:r w:rsidR="002F060E" w:rsidRPr="00724C5C">
        <w:rPr>
          <w:color w:val="000000"/>
          <w:shd w:val="clear" w:color="auto" w:fill="FFFFFF"/>
        </w:rPr>
        <w:t>securities and</w:t>
      </w:r>
      <w:r w:rsidRPr="00724C5C">
        <w:rPr>
          <w:color w:val="000000"/>
        </w:rPr>
        <w:t xml:space="preserve"> absent</w:t>
      </w:r>
      <w:r w:rsidRPr="00486E09">
        <w:rPr>
          <w:color w:val="000000"/>
        </w:rPr>
        <w:t> </w:t>
      </w:r>
      <w:r w:rsidRPr="00724C5C">
        <w:rPr>
          <w:color w:val="000000"/>
        </w:rPr>
        <w:t xml:space="preserve">mitigating tax consequences or client direction to the </w:t>
      </w:r>
      <w:r w:rsidRPr="00724C5C">
        <w:rPr>
          <w:color w:val="000000"/>
        </w:rPr>
        <w:lastRenderedPageBreak/>
        <w:t>contrary, would prefer to liquidate such</w:t>
      </w:r>
      <w:r w:rsidRPr="00486E09">
        <w:rPr>
          <w:color w:val="000000"/>
        </w:rPr>
        <w:t> securities.</w:t>
      </w:r>
      <w:r w:rsidRPr="00486E09">
        <w:rPr>
          <w:color w:val="000000"/>
          <w:shd w:val="clear" w:color="auto" w:fill="FFFFFF"/>
        </w:rPr>
        <w:t>  </w:t>
      </w:r>
      <w:r w:rsidRPr="00724C5C">
        <w:rPr>
          <w:b/>
          <w:color w:val="000000"/>
          <w:u w:val="single"/>
          <w:shd w:val="clear" w:color="auto" w:fill="FFFFFF"/>
        </w:rPr>
        <w:t>Please</w:t>
      </w:r>
      <w:r w:rsidRPr="00486E09">
        <w:rPr>
          <w:b/>
          <w:bCs/>
          <w:color w:val="000000"/>
          <w:u w:val="single"/>
          <w:shd w:val="clear" w:color="auto" w:fill="FFFFFF"/>
        </w:rPr>
        <w:t> </w:t>
      </w:r>
      <w:r w:rsidRPr="00724C5C">
        <w:rPr>
          <w:b/>
          <w:color w:val="000000"/>
          <w:u w:val="single"/>
        </w:rPr>
        <w:t>Note</w:t>
      </w:r>
      <w:r w:rsidRPr="00724C5C">
        <w:rPr>
          <w:color w:val="000000"/>
        </w:rPr>
        <w:t>: If/when liquidated, it should not be assumed that the replacement securities purchased by the</w:t>
      </w:r>
      <w:r w:rsidRPr="00486E09">
        <w:rPr>
          <w:color w:val="000000"/>
        </w:rPr>
        <w:t> </w:t>
      </w:r>
      <w:r w:rsidRPr="00724C5C">
        <w:rPr>
          <w:color w:val="000000"/>
        </w:rPr>
        <w:t>Registrant will outperform the liquidated positions. To the contrary, different types of investments involve</w:t>
      </w:r>
      <w:r w:rsidRPr="00486E09">
        <w:rPr>
          <w:color w:val="000000"/>
        </w:rPr>
        <w:t> </w:t>
      </w:r>
      <w:r w:rsidRPr="00724C5C">
        <w:rPr>
          <w:color w:val="000000"/>
        </w:rPr>
        <w:t>varying degrees of risk, and there can be no assurance that future performance of any specific investment</w:t>
      </w:r>
      <w:r w:rsidRPr="00486E09">
        <w:rPr>
          <w:color w:val="000000"/>
        </w:rPr>
        <w:t> </w:t>
      </w:r>
      <w:r w:rsidRPr="009A3886">
        <w:rPr>
          <w:color w:val="000000"/>
        </w:rPr>
        <w:t xml:space="preserve">or investment strategy (including the investments and/or investment strategies recommended or undertaken by </w:t>
      </w:r>
      <w:r w:rsidRPr="00486E09">
        <w:rPr>
          <w:color w:val="000000"/>
        </w:rPr>
        <w:t>the </w:t>
      </w:r>
      <w:r w:rsidRPr="009A3886">
        <w:rPr>
          <w:color w:val="000000"/>
          <w:shd w:val="clear" w:color="auto" w:fill="FFFFFF"/>
        </w:rPr>
        <w:t>Registrant) will be profitable or equal any specific performance level(s</w:t>
      </w:r>
      <w:r w:rsidRPr="00486E09">
        <w:rPr>
          <w:color w:val="000000"/>
          <w:shd w:val="clear" w:color="auto" w:fill="FFFFFF"/>
        </w:rPr>
        <w:t>)</w:t>
      </w:r>
      <w:r>
        <w:rPr>
          <w:color w:val="000000"/>
          <w:shd w:val="clear" w:color="auto" w:fill="FFFFFF"/>
        </w:rPr>
        <w:t xml:space="preserve">. </w:t>
      </w:r>
      <w:r w:rsidRPr="00486E09">
        <w:rPr>
          <w:color w:val="000000"/>
        </w:rPr>
        <w:t>In addition, there may be other securities and/or accounts owned </w:t>
      </w:r>
      <w:r w:rsidRPr="00486E09">
        <w:rPr>
          <w:color w:val="000000"/>
          <w:shd w:val="clear" w:color="auto" w:fill="FFFFFF"/>
        </w:rPr>
        <w:t>by the client for which the Registrant does not maintain custodian access and/or trading authority</w:t>
      </w:r>
      <w:r>
        <w:rPr>
          <w:color w:val="000000"/>
          <w:shd w:val="clear" w:color="auto" w:fill="FFFFFF"/>
        </w:rPr>
        <w:t xml:space="preserve">; and, </w:t>
      </w:r>
      <w:r w:rsidRPr="00486E09">
        <w:rPr>
          <w:color w:val="000000"/>
          <w:shd w:val="clear" w:color="auto" w:fill="FFFFFF"/>
        </w:rPr>
        <w:t> </w:t>
      </w:r>
    </w:p>
    <w:p w14:paraId="17C7C02E" w14:textId="77777777" w:rsidR="00AC2848" w:rsidRPr="008A42FC" w:rsidRDefault="00AC2848" w:rsidP="00AC2848">
      <w:pPr>
        <w:pStyle w:val="BodyText"/>
        <w:widowControl w:val="0"/>
        <w:numPr>
          <w:ilvl w:val="0"/>
          <w:numId w:val="34"/>
        </w:numPr>
        <w:autoSpaceDE w:val="0"/>
        <w:autoSpaceDN w:val="0"/>
        <w:spacing w:after="0"/>
        <w:ind w:right="829"/>
        <w:jc w:val="both"/>
        <w:rPr>
          <w:color w:val="212121"/>
          <w:shd w:val="clear" w:color="auto" w:fill="FFFFFF"/>
        </w:rPr>
      </w:pPr>
      <w:r w:rsidRPr="008A42FC">
        <w:rPr>
          <w:color w:val="000000"/>
          <w:shd w:val="clear" w:color="auto" w:fill="FFFFFF"/>
        </w:rPr>
        <w:t>hold other securities and/or own accounts for which the Registrant does not maintain custodian access and/or trading authority. </w:t>
      </w:r>
    </w:p>
    <w:p w14:paraId="652470D6" w14:textId="77777777" w:rsidR="00AC2848" w:rsidRDefault="00AC2848" w:rsidP="00AC2848">
      <w:pPr>
        <w:ind w:left="600"/>
        <w:rPr>
          <w:b/>
          <w:bCs/>
          <w:color w:val="000000"/>
          <w:u w:val="single"/>
        </w:rPr>
      </w:pPr>
    </w:p>
    <w:p w14:paraId="3330414A" w14:textId="7F1627DA" w:rsidR="00EE7E09" w:rsidRDefault="00AC2848" w:rsidP="00085F3B">
      <w:pPr>
        <w:pStyle w:val="BodyText"/>
        <w:ind w:left="1440" w:right="829"/>
        <w:jc w:val="both"/>
        <w:rPr>
          <w:bCs/>
          <w:u w:val="single"/>
        </w:rPr>
      </w:pPr>
      <w:r w:rsidRPr="00085F3B">
        <w:rPr>
          <w:color w:val="000000"/>
          <w:u w:val="single"/>
        </w:rPr>
        <w:t>Corresponding Services/Fees.</w:t>
      </w:r>
      <w:r w:rsidRPr="00486E09">
        <w:rPr>
          <w:color w:val="000000"/>
        </w:rPr>
        <w:t xml:space="preserve"> When agreed to by the Registrant, the Registrant shall: (1)  remain available to discuss these securities/accounts on an ongoing basis at the request of the client; (2) monitor these securities/accounts on a regular basis, including, where applicable, rebalancing with client consent;</w:t>
      </w:r>
      <w:r>
        <w:rPr>
          <w:color w:val="000000"/>
        </w:rPr>
        <w:t xml:space="preserve"> </w:t>
      </w:r>
      <w:r w:rsidRPr="00486E09">
        <w:rPr>
          <w:color w:val="000000"/>
        </w:rPr>
        <w:t>(3) shall generally consider these securities as part of the client’s overall asset allocation; (4) report on such securities/accounts as part of regular reports that may be provided by the Registrant; and, (5) include the market value of all such securities for purposes of calculating advisory fee.</w:t>
      </w:r>
    </w:p>
    <w:p w14:paraId="5185B66E" w14:textId="77777777" w:rsidR="00EE7E09" w:rsidRDefault="00EE7E09" w:rsidP="00834403">
      <w:pPr>
        <w:pStyle w:val="Header"/>
        <w:tabs>
          <w:tab w:val="clear" w:pos="9360"/>
        </w:tabs>
        <w:ind w:left="720" w:right="720"/>
        <w:jc w:val="both"/>
        <w:rPr>
          <w:bCs/>
          <w:u w:val="single"/>
        </w:rPr>
      </w:pPr>
    </w:p>
    <w:p w14:paraId="4E3EABE9" w14:textId="025D70E4" w:rsidR="000C3561" w:rsidRPr="00085F3B" w:rsidRDefault="003A02EC" w:rsidP="00085F3B">
      <w:pPr>
        <w:ind w:left="720" w:right="720"/>
        <w:jc w:val="both"/>
        <w:rPr>
          <w:bCs/>
        </w:rPr>
      </w:pPr>
      <w:r w:rsidRPr="003A02EC">
        <w:rPr>
          <w:bCs/>
          <w:u w:val="single"/>
        </w:rPr>
        <w:t>Use of Mutual and Exchange Traded Funds</w:t>
      </w:r>
      <w:r w:rsidRPr="00085F3B">
        <w:rPr>
          <w:bCs/>
        </w:rPr>
        <w:t>: Registrant utilizes mutual funds and exchange traded funds for its client portfolios. In addition to Registrant’s investment advisory fee described below, and transaction and/or custodial fees discussed above, clients will also incur, relative to all mutual fund and exchange traded fund purchases, charges imposed at the fund level (e.g., management fees and other fund expenses).  The mutual funds and exchange traded funds utilized by the Registrant are generally available directly to the public. Thus, a client can generally obtain the funds recommended and/or utilized by Registrant independent of engaging Registrant as an investment advisor. However, if a prospective client does so, then they will not receive Registrant's initial and ongoing investment advisory services.</w:t>
      </w:r>
    </w:p>
    <w:p w14:paraId="270590FC" w14:textId="77777777" w:rsidR="003A02EC" w:rsidRDefault="003A02EC" w:rsidP="00834403">
      <w:pPr>
        <w:pStyle w:val="Header"/>
        <w:tabs>
          <w:tab w:val="clear" w:pos="9360"/>
        </w:tabs>
        <w:ind w:left="720" w:right="720"/>
        <w:jc w:val="both"/>
        <w:rPr>
          <w:bCs/>
          <w:u w:val="single"/>
        </w:rPr>
      </w:pPr>
    </w:p>
    <w:p w14:paraId="34751DCF" w14:textId="5B6B5018" w:rsidR="005B1A7B" w:rsidRPr="00834403" w:rsidRDefault="005B1A7B" w:rsidP="00834403">
      <w:pPr>
        <w:pStyle w:val="Header"/>
        <w:tabs>
          <w:tab w:val="clear" w:pos="9360"/>
        </w:tabs>
        <w:ind w:left="720" w:right="720"/>
        <w:jc w:val="both"/>
      </w:pPr>
      <w:r w:rsidRPr="00834403">
        <w:rPr>
          <w:bCs/>
          <w:u w:val="single"/>
        </w:rPr>
        <w:t>Legacy Positions</w:t>
      </w:r>
      <w:r w:rsidRPr="00104E94">
        <w:rPr>
          <w:bCs/>
        </w:rPr>
        <w:t>.</w:t>
      </w:r>
      <w:r w:rsidRPr="00104E94">
        <w:t xml:space="preserve"> If a client transfers into the account</w:t>
      </w:r>
      <w:r w:rsidR="005D3398">
        <w:t>s</w:t>
      </w:r>
      <w:r w:rsidRPr="00104E94">
        <w:t xml:space="preserve"> to be managed by the Registrant legacy securities (i.e., securities that the client purchased </w:t>
      </w:r>
      <w:r w:rsidR="00C62910">
        <w:t>before</w:t>
      </w:r>
      <w:r w:rsidRPr="00104E94">
        <w:t xml:space="preserve"> and/or independent of the Registrant), the Registrant </w:t>
      </w:r>
      <w:r w:rsidR="00C168E8" w:rsidRPr="00104E94">
        <w:t xml:space="preserve">shall </w:t>
      </w:r>
      <w:r w:rsidRPr="00104E94">
        <w:t xml:space="preserve">supervise such legacy securities, </w:t>
      </w:r>
      <w:r w:rsidR="00C168E8" w:rsidRPr="00104E94">
        <w:t xml:space="preserve">and </w:t>
      </w:r>
      <w:r w:rsidRPr="00104E94">
        <w:t xml:space="preserve">the market value of all such securities </w:t>
      </w:r>
      <w:r w:rsidRPr="00104E94">
        <w:rPr>
          <w:bCs/>
        </w:rPr>
        <w:t>shall be included as part of assets under management for purposes of calculating the Registrant’s advisory fee.</w:t>
      </w:r>
    </w:p>
    <w:p w14:paraId="0C056FC2" w14:textId="77777777" w:rsidR="009317A5" w:rsidRPr="00834403" w:rsidRDefault="009317A5" w:rsidP="005B1A7B">
      <w:pPr>
        <w:pStyle w:val="Header"/>
        <w:tabs>
          <w:tab w:val="clear" w:pos="9360"/>
        </w:tabs>
        <w:ind w:left="720" w:right="720"/>
        <w:jc w:val="both"/>
        <w:rPr>
          <w:bCs/>
        </w:rPr>
      </w:pPr>
    </w:p>
    <w:p w14:paraId="479D2BFC" w14:textId="77777777" w:rsidR="005B1A7B" w:rsidRPr="00104E94" w:rsidRDefault="009317A5" w:rsidP="00834403">
      <w:pPr>
        <w:pStyle w:val="Header"/>
        <w:tabs>
          <w:tab w:val="clear" w:pos="9360"/>
        </w:tabs>
        <w:ind w:left="720" w:right="720"/>
        <w:jc w:val="both"/>
        <w:rPr>
          <w:bCs/>
        </w:rPr>
      </w:pPr>
      <w:r w:rsidRPr="00834403">
        <w:rPr>
          <w:bCs/>
          <w:u w:val="single"/>
        </w:rPr>
        <w:t>Extraordinary Services</w:t>
      </w:r>
      <w:r w:rsidRPr="00834403">
        <w:rPr>
          <w:bCs/>
        </w:rPr>
        <w:t xml:space="preserve">. As indicated on its Investment Advisory Agreement, the </w:t>
      </w:r>
      <w:r w:rsidR="00C168E8" w:rsidRPr="00104E94">
        <w:rPr>
          <w:bCs/>
        </w:rPr>
        <w:t>Registrant</w:t>
      </w:r>
      <w:r w:rsidRPr="00104E94">
        <w:rPr>
          <w:bCs/>
        </w:rPr>
        <w:t xml:space="preserve"> </w:t>
      </w:r>
      <w:r w:rsidR="00220A15" w:rsidRPr="00104E94">
        <w:t>may, upon prior written notice to the client, assess additional fees for extraordinary services.</w:t>
      </w:r>
    </w:p>
    <w:p w14:paraId="73AD3976" w14:textId="77777777" w:rsidR="008F5FD4" w:rsidRDefault="008F5FD4" w:rsidP="009317A5">
      <w:pPr>
        <w:pStyle w:val="Header"/>
        <w:tabs>
          <w:tab w:val="clear" w:pos="9360"/>
        </w:tabs>
        <w:ind w:left="720" w:right="720"/>
        <w:jc w:val="both"/>
        <w:rPr>
          <w:bCs/>
          <w:u w:val="single"/>
        </w:rPr>
      </w:pPr>
    </w:p>
    <w:p w14:paraId="578258AE" w14:textId="7009AA24" w:rsidR="009317A5" w:rsidRPr="00834403" w:rsidRDefault="005B1A7B" w:rsidP="009317A5">
      <w:pPr>
        <w:pStyle w:val="Header"/>
        <w:tabs>
          <w:tab w:val="clear" w:pos="9360"/>
        </w:tabs>
        <w:ind w:left="720" w:right="720"/>
        <w:jc w:val="both"/>
        <w:rPr>
          <w:bCs/>
        </w:rPr>
      </w:pPr>
      <w:r w:rsidRPr="00834403">
        <w:rPr>
          <w:bCs/>
          <w:u w:val="single"/>
        </w:rPr>
        <w:t xml:space="preserve">Reference to </w:t>
      </w:r>
      <w:r w:rsidR="000F695F" w:rsidRPr="00834403">
        <w:rPr>
          <w:bCs/>
          <w:u w:val="single"/>
        </w:rPr>
        <w:t>“</w:t>
      </w:r>
      <w:r w:rsidRPr="00834403">
        <w:rPr>
          <w:bCs/>
          <w:u w:val="single"/>
        </w:rPr>
        <w:t>Registered Investment Advisors</w:t>
      </w:r>
      <w:r w:rsidR="00AC7F33" w:rsidRPr="00834403">
        <w:rPr>
          <w:bCs/>
          <w:u w:val="single"/>
        </w:rPr>
        <w:t>.”</w:t>
      </w:r>
      <w:r w:rsidRPr="00834403">
        <w:rPr>
          <w:bCs/>
        </w:rPr>
        <w:t xml:space="preserve"> </w:t>
      </w:r>
      <w:r w:rsidR="009317A5" w:rsidRPr="00834403">
        <w:t>Newman Dignan &amp; Sheerar (the “Registrant”) is an SEC registered investment adviser</w:t>
      </w:r>
      <w:r w:rsidR="00AC7F33" w:rsidRPr="00834403">
        <w:t xml:space="preserve">. </w:t>
      </w:r>
      <w:r w:rsidR="009317A5" w:rsidRPr="00834403">
        <w:rPr>
          <w:bCs/>
        </w:rPr>
        <w:t>To the extent that the Registrant’s marketing materials and/or stationery reflects the term “Registered Investment Advisors</w:t>
      </w:r>
      <w:r w:rsidR="00AC7F33" w:rsidRPr="00834403">
        <w:rPr>
          <w:bCs/>
        </w:rPr>
        <w:t>,”</w:t>
      </w:r>
      <w:r w:rsidR="009317A5" w:rsidRPr="00834403">
        <w:rPr>
          <w:bCs/>
        </w:rPr>
        <w:t xml:space="preserve"> </w:t>
      </w:r>
    </w:p>
    <w:p w14:paraId="3E90EBF2" w14:textId="386BD81A" w:rsidR="000D2711" w:rsidRDefault="009317A5" w:rsidP="006474BD">
      <w:pPr>
        <w:pStyle w:val="Header"/>
        <w:tabs>
          <w:tab w:val="clear" w:pos="9360"/>
        </w:tabs>
        <w:ind w:left="720" w:right="720"/>
        <w:jc w:val="both"/>
        <w:rPr>
          <w:bCs/>
        </w:rPr>
      </w:pPr>
      <w:r w:rsidRPr="00834403">
        <w:t xml:space="preserve">that term should not be construed as implying that each person associated with the Registrant is separately an SEC registered investment adviser, which no such person is. Rather, </w:t>
      </w:r>
      <w:r w:rsidR="002F060E" w:rsidRPr="00834403">
        <w:t>everyone</w:t>
      </w:r>
      <w:r w:rsidRPr="00834403">
        <w:t xml:space="preserve"> that provides investment advice on behalf of the Registrant is registered with the </w:t>
      </w:r>
      <w:r w:rsidR="00486D89" w:rsidRPr="00834403">
        <w:t>s</w:t>
      </w:r>
      <w:r w:rsidRPr="00834403">
        <w:t>tate of Rhode Island as an investment adviser representative of the Registrant.</w:t>
      </w:r>
      <w:r w:rsidR="005B1A7B" w:rsidRPr="00834403">
        <w:rPr>
          <w:bCs/>
        </w:rPr>
        <w:t xml:space="preserve"> </w:t>
      </w:r>
    </w:p>
    <w:p w14:paraId="0C616324" w14:textId="77777777" w:rsidR="000C3561" w:rsidRDefault="000C3561" w:rsidP="006474BD">
      <w:pPr>
        <w:pStyle w:val="Header"/>
        <w:tabs>
          <w:tab w:val="clear" w:pos="9360"/>
        </w:tabs>
        <w:ind w:left="720" w:right="720"/>
        <w:jc w:val="both"/>
        <w:rPr>
          <w:bCs/>
        </w:rPr>
      </w:pPr>
    </w:p>
    <w:p w14:paraId="37F38B6B" w14:textId="20B0F8A8" w:rsidR="000C3561" w:rsidRPr="00085F3B" w:rsidRDefault="000C3561" w:rsidP="00085F3B">
      <w:pPr>
        <w:tabs>
          <w:tab w:val="left" w:pos="2344"/>
        </w:tabs>
        <w:ind w:left="720" w:right="720"/>
        <w:jc w:val="both"/>
        <w:rPr>
          <w:bCs/>
        </w:rPr>
      </w:pPr>
      <w:r w:rsidRPr="008149A3">
        <w:rPr>
          <w:bCs/>
          <w:u w:val="single"/>
        </w:rPr>
        <w:t>Exchange Traded Notes</w:t>
      </w:r>
      <w:r w:rsidRPr="008149A3">
        <w:rPr>
          <w:bCs/>
        </w:rPr>
        <w:t xml:space="preserve">. ETNs are unsecured debt obligation of the issuer, that trade on exchanges and seek a return linked to a market index or other benchmark. Unlike ETFs, ETNs do not buy or hold assets to replicate or approximate the performance of the underlying index. The return on an ETN generally depends on price changes if the ETN is sold before maturing (as with stocks or ETFs)— or on the payment, if any, of a distribution if the ETN is held to maturity (as with some other structured products). An ETN's indicative value is computed by the issuer and is distinct from an ETN's market price, which is the price at which an ETN trades in the secondary market. An ETN's market price can deviate, sometimes significantly, from its indicative value. </w:t>
      </w:r>
    </w:p>
    <w:p w14:paraId="58B8697F" w14:textId="77777777" w:rsidR="00486D89" w:rsidRPr="00104E94" w:rsidRDefault="00486D89">
      <w:pPr>
        <w:rPr>
          <w:b/>
          <w:bCs/>
          <w:u w:val="single"/>
        </w:rPr>
      </w:pPr>
    </w:p>
    <w:p w14:paraId="35B40B06" w14:textId="0F2B1C8F" w:rsidR="006474BD" w:rsidRPr="00834403" w:rsidRDefault="00473B1D" w:rsidP="006474BD">
      <w:pPr>
        <w:pStyle w:val="Header"/>
        <w:tabs>
          <w:tab w:val="clear" w:pos="9360"/>
        </w:tabs>
        <w:ind w:left="720" w:right="720"/>
        <w:jc w:val="both"/>
      </w:pPr>
      <w:r w:rsidRPr="00834403">
        <w:rPr>
          <w:bCs/>
          <w:u w:val="single"/>
        </w:rPr>
        <w:t xml:space="preserve">Disclosure </w:t>
      </w:r>
      <w:r w:rsidR="00EE7E09">
        <w:rPr>
          <w:bCs/>
          <w:u w:val="single"/>
        </w:rPr>
        <w:t>Brochure</w:t>
      </w:r>
      <w:r w:rsidRPr="00834403">
        <w:t>. A copy of the Registrant</w:t>
      </w:r>
      <w:r w:rsidR="00690BEA" w:rsidRPr="00834403">
        <w:t>’</w:t>
      </w:r>
      <w:r w:rsidRPr="00834403">
        <w:t xml:space="preserve">s written </w:t>
      </w:r>
      <w:r w:rsidR="00FB0942" w:rsidRPr="00834403">
        <w:t>Brochure as set forth on Part 2</w:t>
      </w:r>
      <w:r w:rsidRPr="00834403">
        <w:t xml:space="preserve"> of Form ADV </w:t>
      </w:r>
      <w:r w:rsidR="00C27894">
        <w:t xml:space="preserve">and Form CRS (Client Relationship Summary) </w:t>
      </w:r>
      <w:r w:rsidRPr="00834403">
        <w:t xml:space="preserve">shall be provided to each client prior to, or contemporaneously with, the execution of the </w:t>
      </w:r>
      <w:r w:rsidR="00FB0942" w:rsidRPr="00834403">
        <w:rPr>
          <w:iCs/>
        </w:rPr>
        <w:t xml:space="preserve">Investment Advisory Agreement, </w:t>
      </w:r>
      <w:r w:rsidR="000D2711" w:rsidRPr="00834403">
        <w:rPr>
          <w:iCs/>
        </w:rPr>
        <w:t>Retirement Plan Services Agreement</w:t>
      </w:r>
      <w:r w:rsidR="00FB0942" w:rsidRPr="00834403">
        <w:rPr>
          <w:iCs/>
        </w:rPr>
        <w:t xml:space="preserve"> </w:t>
      </w:r>
      <w:r w:rsidRPr="00834403">
        <w:rPr>
          <w:iCs/>
        </w:rPr>
        <w:t xml:space="preserve">or </w:t>
      </w:r>
      <w:r w:rsidR="008314C8" w:rsidRPr="00834403">
        <w:rPr>
          <w:iCs/>
        </w:rPr>
        <w:t>Limited</w:t>
      </w:r>
      <w:r w:rsidRPr="00834403">
        <w:rPr>
          <w:iCs/>
        </w:rPr>
        <w:t xml:space="preserve"> Consulting Agreement</w:t>
      </w:r>
      <w:r w:rsidR="006C063B" w:rsidRPr="00834403">
        <w:t xml:space="preserve">. </w:t>
      </w:r>
    </w:p>
    <w:p w14:paraId="5717AF82" w14:textId="77777777" w:rsidR="006D734D" w:rsidRPr="00104E94" w:rsidRDefault="006D734D" w:rsidP="005A1D5B">
      <w:pPr>
        <w:pStyle w:val="Header"/>
        <w:tabs>
          <w:tab w:val="clear" w:pos="9360"/>
        </w:tabs>
        <w:ind w:left="720" w:right="720"/>
        <w:jc w:val="both"/>
      </w:pPr>
    </w:p>
    <w:p w14:paraId="42B4EF42" w14:textId="77777777" w:rsidR="00156C0A" w:rsidRPr="00104E94" w:rsidRDefault="00156C0A" w:rsidP="00B75F1C">
      <w:pPr>
        <w:pStyle w:val="Header"/>
        <w:numPr>
          <w:ilvl w:val="0"/>
          <w:numId w:val="4"/>
        </w:numPr>
        <w:tabs>
          <w:tab w:val="clear" w:pos="4680"/>
          <w:tab w:val="clear" w:pos="9360"/>
        </w:tabs>
        <w:ind w:right="720"/>
        <w:jc w:val="both"/>
      </w:pPr>
      <w:r w:rsidRPr="00104E94">
        <w:t xml:space="preserve">The Registrant shall provide investment advisory services </w:t>
      </w:r>
      <w:r w:rsidR="00C62910">
        <w:t xml:space="preserve">tailored to the </w:t>
      </w:r>
      <w:r w:rsidRPr="00104E94">
        <w:t xml:space="preserve">specific </w:t>
      </w:r>
      <w:r w:rsidR="00C62910">
        <w:t>n</w:t>
      </w:r>
      <w:r w:rsidRPr="00104E94">
        <w:t xml:space="preserve">eeds of each client. </w:t>
      </w:r>
      <w:r w:rsidR="00C62910">
        <w:t>Before</w:t>
      </w:r>
      <w:r w:rsidRPr="00104E94">
        <w:t xml:space="preserve"> providing investment advisory services, an investment adviser representative will ascertain each client</w:t>
      </w:r>
      <w:r w:rsidR="00690BEA" w:rsidRPr="00104E94">
        <w:t>’</w:t>
      </w:r>
      <w:r w:rsidRPr="00104E94">
        <w:t xml:space="preserve">s investment </w:t>
      </w:r>
      <w:r w:rsidR="000547EA">
        <w:t>objectives</w:t>
      </w:r>
      <w:r w:rsidRPr="00104E94">
        <w:t xml:space="preserve">. Thereafter, the Registrant shall allocate and/or recommend that the client allocate investment assets consistent with the designated investment </w:t>
      </w:r>
      <w:r w:rsidR="000547EA">
        <w:t>objectives</w:t>
      </w:r>
      <w:r w:rsidRPr="00104E94">
        <w:t xml:space="preserve">. The client may, at </w:t>
      </w:r>
      <w:r w:rsidR="0071722D" w:rsidRPr="00104E94">
        <w:t>any time</w:t>
      </w:r>
      <w:r w:rsidRPr="00104E94">
        <w:t>, impose reasonable restrictions, in writing, on the Registrant</w:t>
      </w:r>
      <w:r w:rsidR="00690BEA" w:rsidRPr="00104E94">
        <w:t>’</w:t>
      </w:r>
      <w:r w:rsidRPr="00104E94">
        <w:t>s services.</w:t>
      </w:r>
    </w:p>
    <w:p w14:paraId="324B996F" w14:textId="77777777" w:rsidR="00156C0A" w:rsidRPr="00104E94" w:rsidRDefault="00156C0A" w:rsidP="00B75F1C">
      <w:pPr>
        <w:pStyle w:val="Header"/>
        <w:tabs>
          <w:tab w:val="clear" w:pos="4680"/>
          <w:tab w:val="clear" w:pos="9360"/>
        </w:tabs>
        <w:ind w:left="720" w:right="720"/>
        <w:jc w:val="both"/>
      </w:pPr>
    </w:p>
    <w:p w14:paraId="194A04BA" w14:textId="77777777" w:rsidR="00156C0A" w:rsidRPr="00104E94" w:rsidRDefault="00156C0A" w:rsidP="00B75F1C">
      <w:pPr>
        <w:pStyle w:val="Header"/>
        <w:numPr>
          <w:ilvl w:val="0"/>
          <w:numId w:val="4"/>
        </w:numPr>
        <w:tabs>
          <w:tab w:val="clear" w:pos="4680"/>
          <w:tab w:val="clear" w:pos="9360"/>
        </w:tabs>
        <w:ind w:right="720"/>
        <w:jc w:val="both"/>
      </w:pPr>
      <w:r w:rsidRPr="00104E94">
        <w:t xml:space="preserve">The Registrant does not participate in a wrap fee program. </w:t>
      </w:r>
    </w:p>
    <w:p w14:paraId="47A41F66" w14:textId="77777777" w:rsidR="00473B1D" w:rsidRPr="00104E94" w:rsidRDefault="00473B1D" w:rsidP="00B75F1C">
      <w:pPr>
        <w:pStyle w:val="ListParagraph"/>
      </w:pPr>
    </w:p>
    <w:p w14:paraId="2C2A5FC3" w14:textId="39BCCA44" w:rsidR="004F300E" w:rsidRPr="00FB735F" w:rsidRDefault="00473B1D" w:rsidP="00FB735F">
      <w:pPr>
        <w:pStyle w:val="Header"/>
        <w:numPr>
          <w:ilvl w:val="0"/>
          <w:numId w:val="4"/>
        </w:numPr>
        <w:tabs>
          <w:tab w:val="clear" w:pos="4680"/>
          <w:tab w:val="clear" w:pos="9360"/>
        </w:tabs>
        <w:ind w:right="720"/>
        <w:jc w:val="both"/>
      </w:pPr>
      <w:r w:rsidRPr="00104E94">
        <w:t xml:space="preserve">As of </w:t>
      </w:r>
      <w:r w:rsidR="00487190">
        <w:t>December</w:t>
      </w:r>
      <w:r w:rsidR="00487190" w:rsidRPr="00104E94">
        <w:t xml:space="preserve"> </w:t>
      </w:r>
      <w:r w:rsidR="00487190">
        <w:t>31</w:t>
      </w:r>
      <w:r w:rsidR="006E3F6F" w:rsidRPr="00104E94">
        <w:t>, 20</w:t>
      </w:r>
      <w:r w:rsidR="00590CFD">
        <w:t>2</w:t>
      </w:r>
      <w:r w:rsidR="00CE48E8">
        <w:t>3</w:t>
      </w:r>
      <w:r w:rsidRPr="00104E94">
        <w:t>, the Registrant had $</w:t>
      </w:r>
      <w:r w:rsidR="00487190">
        <w:t xml:space="preserve">588,591,237 </w:t>
      </w:r>
      <w:r w:rsidRPr="00104E94">
        <w:t>in assets under management on a discretionary basis and $</w:t>
      </w:r>
      <w:r w:rsidR="00487190">
        <w:t>24,358,642</w:t>
      </w:r>
      <w:r w:rsidR="00590CFD">
        <w:t xml:space="preserve"> </w:t>
      </w:r>
      <w:r w:rsidRPr="00104E94">
        <w:t>in assets under management on a non-discretionary basis</w:t>
      </w:r>
      <w:r w:rsidR="008C25F9">
        <w:t xml:space="preserve"> for a total of $</w:t>
      </w:r>
      <w:r w:rsidR="00487190">
        <w:t xml:space="preserve">612,949,879 </w:t>
      </w:r>
      <w:r w:rsidR="008C25F9">
        <w:t>in assets under management</w:t>
      </w:r>
      <w:r w:rsidRPr="00104E94">
        <w:t xml:space="preserve">. </w:t>
      </w:r>
      <w:bookmarkStart w:id="12" w:name="_Toc273621955"/>
    </w:p>
    <w:p w14:paraId="63F4E981" w14:textId="5A45B56D" w:rsidR="00FB735F" w:rsidRPr="00104E94" w:rsidRDefault="00FB735F" w:rsidP="00FB735F">
      <w:pPr>
        <w:pStyle w:val="Heading1"/>
      </w:pPr>
      <w:bookmarkStart w:id="13" w:name="_Toc130818859"/>
      <w:bookmarkEnd w:id="12"/>
      <w:r w:rsidRPr="00104E94">
        <w:t xml:space="preserve">Item </w:t>
      </w:r>
      <w:r>
        <w:t>5</w:t>
      </w:r>
      <w:r w:rsidRPr="00104E94">
        <w:tab/>
      </w:r>
      <w:r>
        <w:t>Fees and Compensation</w:t>
      </w:r>
      <w:bookmarkEnd w:id="13"/>
    </w:p>
    <w:p w14:paraId="41EB0FA3" w14:textId="77777777" w:rsidR="00473B1D" w:rsidRPr="00104E94" w:rsidRDefault="00473B1D"/>
    <w:p w14:paraId="71C3CAC3" w14:textId="77777777" w:rsidR="0071722D" w:rsidRPr="00104E94" w:rsidRDefault="0071722D" w:rsidP="0071722D">
      <w:pPr>
        <w:numPr>
          <w:ilvl w:val="0"/>
          <w:numId w:val="6"/>
        </w:numPr>
        <w:ind w:right="720"/>
        <w:jc w:val="both"/>
      </w:pPr>
    </w:p>
    <w:p w14:paraId="7F467FEA" w14:textId="77777777" w:rsidR="008314C8" w:rsidRPr="00104E94" w:rsidRDefault="008314C8" w:rsidP="004F300E">
      <w:pPr>
        <w:spacing w:after="120"/>
        <w:ind w:left="720" w:right="720"/>
        <w:jc w:val="center"/>
        <w:rPr>
          <w:rFonts w:ascii="Times New Roman Bold" w:hAnsi="Times New Roman Bold"/>
          <w:smallCaps/>
          <w:sz w:val="24"/>
        </w:rPr>
      </w:pPr>
      <w:r w:rsidRPr="00104E94">
        <w:rPr>
          <w:rFonts w:ascii="Times New Roman Bold" w:hAnsi="Times New Roman Bold"/>
          <w:b/>
          <w:smallCaps/>
          <w:sz w:val="24"/>
        </w:rPr>
        <w:t>I</w:t>
      </w:r>
      <w:r w:rsidR="0071722D" w:rsidRPr="00104E94">
        <w:rPr>
          <w:rFonts w:ascii="Times New Roman Bold" w:hAnsi="Times New Roman Bold"/>
          <w:b/>
          <w:smallCaps/>
          <w:sz w:val="24"/>
        </w:rPr>
        <w:t>nvestment Advisory Services</w:t>
      </w:r>
    </w:p>
    <w:p w14:paraId="4EA6358F" w14:textId="77777777" w:rsidR="008314C8" w:rsidRPr="00104E94" w:rsidRDefault="008314C8" w:rsidP="008314C8">
      <w:pPr>
        <w:ind w:left="720" w:right="720"/>
        <w:jc w:val="both"/>
      </w:pPr>
      <w:r w:rsidRPr="00104E94">
        <w:t>The client can determine to engage the Registrant to provide discretionary investment advisory services on a</w:t>
      </w:r>
      <w:r w:rsidR="0010374D" w:rsidRPr="00104E94">
        <w:t xml:space="preserve"> negotiable</w:t>
      </w:r>
      <w:r w:rsidRPr="00104E94">
        <w:t xml:space="preserve"> fee-only basis. The Registrant</w:t>
      </w:r>
      <w:r w:rsidR="00690BEA" w:rsidRPr="00104E94">
        <w:t>’</w:t>
      </w:r>
      <w:r w:rsidRPr="00104E94">
        <w:t xml:space="preserve">s annual investment advisory fee is based upon a percentage (%) of the market value of the assets </w:t>
      </w:r>
      <w:r w:rsidR="007F7C49" w:rsidRPr="00104E94">
        <w:t>of each</w:t>
      </w:r>
      <w:r w:rsidR="006C4FDF" w:rsidRPr="00104E94">
        <w:t xml:space="preserve"> account</w:t>
      </w:r>
      <w:r w:rsidR="007F7C49" w:rsidRPr="00104E94">
        <w:t xml:space="preserve"> </w:t>
      </w:r>
      <w:r w:rsidRPr="00104E94">
        <w:t>placed under the Registrant</w:t>
      </w:r>
      <w:r w:rsidR="00690BEA" w:rsidRPr="00104E94">
        <w:t>’</w:t>
      </w:r>
      <w:r w:rsidRPr="00104E94">
        <w:t>s management</w:t>
      </w:r>
      <w:r w:rsidR="0010374D" w:rsidRPr="00104E94">
        <w:t xml:space="preserve">, generally </w:t>
      </w:r>
      <w:r w:rsidRPr="00104E94">
        <w:t>between negotiable and 1.00</w:t>
      </w:r>
      <w:r w:rsidR="0010374D" w:rsidRPr="00104E94">
        <w:t>%</w:t>
      </w:r>
      <w:r w:rsidR="004F300E">
        <w:t xml:space="preserve">, </w:t>
      </w:r>
      <w:r w:rsidRPr="00104E94">
        <w:t xml:space="preserve">as follows: </w:t>
      </w:r>
    </w:p>
    <w:p w14:paraId="59618B09" w14:textId="77777777" w:rsidR="0058410A" w:rsidRPr="00104E94" w:rsidRDefault="0058410A" w:rsidP="0058410A">
      <w:pPr>
        <w:ind w:right="720"/>
        <w:rPr>
          <w:sz w:val="4"/>
          <w:u w:val="single"/>
        </w:rPr>
      </w:pPr>
    </w:p>
    <w:p w14:paraId="0E1FBB2E" w14:textId="77777777" w:rsidR="0058410A" w:rsidRPr="00104E94" w:rsidRDefault="0058410A" w:rsidP="0058410A">
      <w:pPr>
        <w:ind w:right="720"/>
        <w:rPr>
          <w:sz w:val="4"/>
          <w:u w:val="single"/>
        </w:rPr>
      </w:pPr>
    </w:p>
    <w:p w14:paraId="725C7E31" w14:textId="77777777" w:rsidR="0058410A" w:rsidRPr="00104E94" w:rsidRDefault="0058410A" w:rsidP="0058410A">
      <w:pPr>
        <w:ind w:right="720"/>
        <w:rPr>
          <w:sz w:val="4"/>
          <w:u w:val="single"/>
        </w:rPr>
      </w:pPr>
    </w:p>
    <w:p w14:paraId="61621DA0" w14:textId="77777777" w:rsidR="008314C8" w:rsidRPr="00104E94" w:rsidRDefault="008314C8" w:rsidP="008314C8">
      <w:pPr>
        <w:ind w:left="720" w:firstLine="720"/>
      </w:pPr>
      <w:r w:rsidRPr="00104E94">
        <w:rPr>
          <w:u w:val="single"/>
        </w:rPr>
        <w:t>Market Value of Portfolio</w:t>
      </w:r>
      <w:r w:rsidRPr="00104E94">
        <w:tab/>
        <w:t xml:space="preserve">                    </w:t>
      </w:r>
      <w:r w:rsidRPr="00104E94">
        <w:tab/>
      </w:r>
      <w:r w:rsidR="005C5B59" w:rsidRPr="00104E94">
        <w:tab/>
      </w:r>
      <w:r w:rsidRPr="00104E94">
        <w:rPr>
          <w:u w:val="single"/>
        </w:rPr>
        <w:t>Annual Fee</w:t>
      </w:r>
    </w:p>
    <w:p w14:paraId="0C177ED6" w14:textId="77777777" w:rsidR="008314C8" w:rsidRPr="00104E94" w:rsidRDefault="008314C8" w:rsidP="008314C8">
      <w:pPr>
        <w:pStyle w:val="ADVnormal"/>
        <w:ind w:left="720" w:firstLine="720"/>
        <w:jc w:val="left"/>
        <w:rPr>
          <w:rFonts w:eastAsia="MS Mincho"/>
          <w:sz w:val="22"/>
          <w:szCs w:val="22"/>
        </w:rPr>
      </w:pPr>
      <w:r w:rsidRPr="00104E94">
        <w:rPr>
          <w:rFonts w:eastAsia="MS Mincho"/>
          <w:sz w:val="22"/>
          <w:szCs w:val="22"/>
        </w:rPr>
        <w:t xml:space="preserve">First $1,000,000 of portfolio market value               </w:t>
      </w:r>
      <w:r w:rsidR="005C5B59" w:rsidRPr="00104E94">
        <w:rPr>
          <w:rFonts w:eastAsia="MS Mincho"/>
          <w:sz w:val="22"/>
          <w:szCs w:val="22"/>
        </w:rPr>
        <w:tab/>
      </w:r>
      <w:r w:rsidRPr="00104E94">
        <w:rPr>
          <w:rFonts w:eastAsia="MS Mincho"/>
          <w:sz w:val="22"/>
          <w:szCs w:val="22"/>
        </w:rPr>
        <w:t>1.00%</w:t>
      </w:r>
    </w:p>
    <w:p w14:paraId="7C6986F2" w14:textId="77777777" w:rsidR="008314C8" w:rsidRPr="00104E94" w:rsidRDefault="008314C8" w:rsidP="008314C8">
      <w:pPr>
        <w:pStyle w:val="ADVnormal"/>
        <w:ind w:left="720" w:firstLine="720"/>
        <w:jc w:val="left"/>
        <w:rPr>
          <w:rFonts w:eastAsia="MS Mincho"/>
          <w:sz w:val="22"/>
          <w:szCs w:val="22"/>
        </w:rPr>
      </w:pPr>
      <w:r w:rsidRPr="00104E94">
        <w:rPr>
          <w:rFonts w:eastAsia="MS Mincho"/>
          <w:sz w:val="22"/>
          <w:szCs w:val="22"/>
        </w:rPr>
        <w:t xml:space="preserve">Next $1,000,000 of portfolio market value               </w:t>
      </w:r>
      <w:r w:rsidR="005C5B59" w:rsidRPr="00104E94">
        <w:rPr>
          <w:rFonts w:eastAsia="MS Mincho"/>
          <w:sz w:val="22"/>
          <w:szCs w:val="22"/>
        </w:rPr>
        <w:tab/>
      </w:r>
      <w:r w:rsidRPr="00104E94">
        <w:rPr>
          <w:rFonts w:eastAsia="MS Mincho"/>
          <w:sz w:val="22"/>
          <w:szCs w:val="22"/>
        </w:rPr>
        <w:t>0.75%</w:t>
      </w:r>
    </w:p>
    <w:p w14:paraId="776ADC62" w14:textId="77777777" w:rsidR="008314C8" w:rsidRPr="00104E94" w:rsidRDefault="008314C8" w:rsidP="008314C8">
      <w:pPr>
        <w:pStyle w:val="ADVnormal"/>
        <w:ind w:left="720" w:firstLine="720"/>
        <w:jc w:val="left"/>
        <w:rPr>
          <w:rFonts w:eastAsia="MS Mincho"/>
          <w:sz w:val="22"/>
          <w:szCs w:val="22"/>
        </w:rPr>
      </w:pPr>
      <w:r w:rsidRPr="00104E94">
        <w:rPr>
          <w:rFonts w:eastAsia="MS Mincho"/>
          <w:sz w:val="22"/>
          <w:szCs w:val="22"/>
        </w:rPr>
        <w:t xml:space="preserve">Next $3,000,000 of portfolio market value               </w:t>
      </w:r>
      <w:r w:rsidR="005C5B59" w:rsidRPr="00104E94">
        <w:rPr>
          <w:rFonts w:eastAsia="MS Mincho"/>
          <w:sz w:val="22"/>
          <w:szCs w:val="22"/>
        </w:rPr>
        <w:tab/>
      </w:r>
      <w:r w:rsidRPr="00104E94">
        <w:rPr>
          <w:rFonts w:eastAsia="MS Mincho"/>
          <w:sz w:val="22"/>
          <w:szCs w:val="22"/>
        </w:rPr>
        <w:t>0.50%</w:t>
      </w:r>
    </w:p>
    <w:p w14:paraId="5995A026" w14:textId="77777777" w:rsidR="0058410A" w:rsidRPr="00104E94" w:rsidRDefault="0058410A" w:rsidP="008314C8">
      <w:pPr>
        <w:pStyle w:val="ADVnormal"/>
        <w:ind w:left="720" w:firstLine="720"/>
        <w:jc w:val="left"/>
        <w:rPr>
          <w:rFonts w:eastAsia="MS Mincho"/>
          <w:sz w:val="22"/>
          <w:szCs w:val="22"/>
        </w:rPr>
      </w:pPr>
      <w:r w:rsidRPr="00104E94">
        <w:rPr>
          <w:rFonts w:eastAsia="MS Mincho"/>
          <w:sz w:val="22"/>
          <w:szCs w:val="22"/>
        </w:rPr>
        <w:t xml:space="preserve">Next $5,000,000 of portfolio market value               </w:t>
      </w:r>
      <w:r w:rsidR="005C5B59" w:rsidRPr="00104E94">
        <w:rPr>
          <w:rFonts w:eastAsia="MS Mincho"/>
          <w:sz w:val="22"/>
          <w:szCs w:val="22"/>
        </w:rPr>
        <w:tab/>
      </w:r>
      <w:r w:rsidRPr="00104E94">
        <w:rPr>
          <w:rFonts w:eastAsia="MS Mincho"/>
          <w:sz w:val="22"/>
          <w:szCs w:val="22"/>
        </w:rPr>
        <w:t>0.35%</w:t>
      </w:r>
    </w:p>
    <w:p w14:paraId="5C2DB815" w14:textId="77777777" w:rsidR="00FB0942" w:rsidRPr="00104E94" w:rsidRDefault="0058410A" w:rsidP="009F4D2F">
      <w:pPr>
        <w:pStyle w:val="ADVnormal"/>
        <w:spacing w:after="0"/>
        <w:ind w:left="720" w:firstLine="720"/>
        <w:jc w:val="left"/>
        <w:rPr>
          <w:rFonts w:eastAsia="MS Mincho"/>
          <w:sz w:val="22"/>
          <w:szCs w:val="22"/>
        </w:rPr>
      </w:pPr>
      <w:r w:rsidRPr="00104E94">
        <w:rPr>
          <w:rFonts w:eastAsia="MS Mincho"/>
          <w:sz w:val="22"/>
          <w:szCs w:val="22"/>
        </w:rPr>
        <w:t xml:space="preserve">The fee for portfolios over $10,000,000                    </w:t>
      </w:r>
      <w:r w:rsidR="005C5B59" w:rsidRPr="00104E94">
        <w:rPr>
          <w:rFonts w:eastAsia="MS Mincho"/>
          <w:sz w:val="22"/>
          <w:szCs w:val="22"/>
        </w:rPr>
        <w:tab/>
      </w:r>
      <w:r w:rsidRPr="00104E94">
        <w:rPr>
          <w:rFonts w:eastAsia="MS Mincho"/>
          <w:sz w:val="22"/>
          <w:szCs w:val="22"/>
        </w:rPr>
        <w:t>negotiable</w:t>
      </w:r>
    </w:p>
    <w:p w14:paraId="60FBD525" w14:textId="77777777" w:rsidR="000D2711" w:rsidRPr="00104E94" w:rsidRDefault="000D2711" w:rsidP="000D2711">
      <w:pPr>
        <w:spacing w:after="120"/>
        <w:ind w:left="720" w:right="720"/>
      </w:pPr>
    </w:p>
    <w:p w14:paraId="382CCC47" w14:textId="7F2857AB" w:rsidR="00F17F0B" w:rsidRDefault="004F300E" w:rsidP="004F300E">
      <w:pPr>
        <w:ind w:left="720" w:right="720"/>
        <w:jc w:val="both"/>
      </w:pPr>
      <w:r w:rsidRPr="00104E94">
        <w:rPr>
          <w:bCs/>
        </w:rPr>
        <w:t xml:space="preserve">The fee is payable quarterly in arrears. </w:t>
      </w:r>
      <w:r w:rsidR="00CC04D7">
        <w:t>Registrant</w:t>
      </w:r>
      <w:r w:rsidR="00CC04D7" w:rsidRPr="00F66E56">
        <w:t xml:space="preserve">, in its discretion, may charge a lesser </w:t>
      </w:r>
      <w:r w:rsidR="00CC04D7">
        <w:t xml:space="preserve">or higher </w:t>
      </w:r>
      <w:r w:rsidR="00CC04D7" w:rsidRPr="00F66E56">
        <w:t xml:space="preserve">investment advisory fee, charge a flat fee, </w:t>
      </w:r>
      <w:r w:rsidR="00CC04D7">
        <w:t xml:space="preserve">waive appliable minimum asset or </w:t>
      </w:r>
      <w:r w:rsidR="00CC04D7">
        <w:lastRenderedPageBreak/>
        <w:t xml:space="preserve">minimum fee levels, </w:t>
      </w:r>
      <w:r w:rsidR="00CC04D7" w:rsidRPr="00F66E56">
        <w:t>waive its fee entirely, or charge fee on a different interval, based upon certain criteria (i.e.</w:t>
      </w:r>
      <w:r w:rsidR="00CC04D7">
        <w:t>,</w:t>
      </w:r>
      <w:r w:rsidR="00CC04D7" w:rsidRPr="00F66E56">
        <w:t xml:space="preserve"> anticipated future earning capacity, anticipated future additional assets, dollar amount of assets to be managed, related accounts, account composition, complexity of the engagement, anticipated services to be rendered, grandfathered fee schedules, employees and family members, courtesy accounts, competition, negotiations with client, etc.). </w:t>
      </w:r>
      <w:r w:rsidR="00CC04D7" w:rsidRPr="00F66E56">
        <w:rPr>
          <w:b/>
          <w:u w:val="single"/>
        </w:rPr>
        <w:t>Please Note</w:t>
      </w:r>
      <w:r w:rsidR="00CC04D7" w:rsidRPr="00F66E56">
        <w:t xml:space="preserve">: As </w:t>
      </w:r>
      <w:r w:rsidR="00CC04D7">
        <w:t xml:space="preserve">a </w:t>
      </w:r>
      <w:r w:rsidR="00CC04D7" w:rsidRPr="00F66E56">
        <w:t xml:space="preserve">result of the above, similarly situated clients could pay different fees. In addition, similar advisory services may be available from other investment advisers for similar or lower fees.   </w:t>
      </w:r>
    </w:p>
    <w:p w14:paraId="49D888A7" w14:textId="3E948A88" w:rsidR="00BF0DEC" w:rsidRDefault="00BF0DEC" w:rsidP="004F300E">
      <w:pPr>
        <w:ind w:left="720" w:right="720"/>
        <w:jc w:val="both"/>
      </w:pPr>
    </w:p>
    <w:p w14:paraId="63935108" w14:textId="2F9A0896" w:rsidR="00BF0DEC" w:rsidRDefault="00BF0DEC" w:rsidP="004F300E">
      <w:pPr>
        <w:ind w:left="720" w:right="720"/>
        <w:jc w:val="both"/>
      </w:pPr>
      <w:r w:rsidRPr="00F66E56">
        <w:rPr>
          <w:b/>
          <w:bCs/>
          <w:u w:val="single"/>
        </w:rPr>
        <w:t>Margin Accounts: Risks/Conflict of Interest</w:t>
      </w:r>
      <w:r w:rsidRPr="00F66E56">
        <w:rPr>
          <w:b/>
          <w:bCs/>
        </w:rPr>
        <w:t>.</w:t>
      </w:r>
      <w:r w:rsidRPr="00F66E56">
        <w:t xml:space="preserve"> </w:t>
      </w:r>
      <w:r>
        <w:t>Registrant</w:t>
      </w:r>
      <w:r w:rsidRPr="00F66E56">
        <w:t xml:space="preserve"> </w:t>
      </w:r>
      <w:r w:rsidRPr="00F66E56">
        <w:rPr>
          <w:b/>
        </w:rPr>
        <w:t>does not</w:t>
      </w:r>
      <w:r w:rsidRPr="00F66E56">
        <w:t xml:space="preserve"> recommend the use of margin for investment purposes. A </w:t>
      </w:r>
      <w:r w:rsidRPr="00F66E56">
        <w:rPr>
          <w:rStyle w:val="Emphasis"/>
          <w:shd w:val="clear" w:color="auto" w:fill="FFFFFF"/>
        </w:rPr>
        <w:t>margin account</w:t>
      </w:r>
      <w:r w:rsidRPr="00F66E56">
        <w:rPr>
          <w:shd w:val="clear" w:color="auto" w:fill="FFFFFF"/>
        </w:rPr>
        <w:t> is a brokerage</w:t>
      </w:r>
      <w:r w:rsidRPr="005F219D">
        <w:rPr>
          <w:shd w:val="clear" w:color="auto" w:fill="FFFFFF"/>
        </w:rPr>
        <w:t> </w:t>
      </w:r>
      <w:r w:rsidRPr="005F219D">
        <w:rPr>
          <w:rStyle w:val="Emphasis"/>
          <w:shd w:val="clear" w:color="auto" w:fill="FFFFFF"/>
        </w:rPr>
        <w:t>account</w:t>
      </w:r>
      <w:r w:rsidRPr="005F219D">
        <w:rPr>
          <w:i/>
          <w:iCs/>
          <w:shd w:val="clear" w:color="auto" w:fill="FFFFFF"/>
        </w:rPr>
        <w:t xml:space="preserve"> </w:t>
      </w:r>
      <w:r w:rsidRPr="00F66E56">
        <w:rPr>
          <w:shd w:val="clear" w:color="auto" w:fill="FFFFFF"/>
        </w:rPr>
        <w:t xml:space="preserve">that allows investors to borrow money to buy securities and/or for other non-investment borrowing purposes. The broker/custodian charges the investor interest for the right to borrow money and uses the securities as collateral. By using borrowed funds, the customer is employing leverage that will magnify both account gains and losses. </w:t>
      </w:r>
      <w:r w:rsidRPr="00F66E56">
        <w:t xml:space="preserve">Should a client determine to use margin, </w:t>
      </w:r>
      <w:r>
        <w:t>Registrant</w:t>
      </w:r>
      <w:r w:rsidRPr="00F66E56">
        <w:t xml:space="preserve"> will </w:t>
      </w:r>
      <w:r w:rsidR="00542004">
        <w:t>deduct the value of the outstanding margin balance when computing its advisory fee.</w:t>
      </w:r>
      <w:r w:rsidRPr="00F66E56">
        <w:t> </w:t>
      </w:r>
    </w:p>
    <w:p w14:paraId="29A57F7C" w14:textId="77777777" w:rsidR="004F300E" w:rsidRPr="004F300E" w:rsidRDefault="004F300E" w:rsidP="004F300E">
      <w:pPr>
        <w:ind w:left="720" w:right="720"/>
        <w:jc w:val="both"/>
        <w:rPr>
          <w:b/>
          <w:bCs/>
          <w:u w:val="single"/>
        </w:rPr>
      </w:pPr>
    </w:p>
    <w:p w14:paraId="4D187AA8" w14:textId="77777777" w:rsidR="00C479AD" w:rsidRPr="00104E94" w:rsidRDefault="00C479AD" w:rsidP="004F300E">
      <w:pPr>
        <w:spacing w:after="120"/>
        <w:ind w:left="720" w:right="720"/>
        <w:jc w:val="center"/>
        <w:rPr>
          <w:rFonts w:ascii="Times New Roman Bold" w:hAnsi="Times New Roman Bold"/>
          <w:b/>
          <w:smallCaps/>
          <w:sz w:val="24"/>
        </w:rPr>
      </w:pPr>
      <w:r w:rsidRPr="00104E94">
        <w:rPr>
          <w:rFonts w:ascii="Times New Roman Bold" w:hAnsi="Times New Roman Bold"/>
          <w:b/>
          <w:smallCaps/>
          <w:sz w:val="24"/>
        </w:rPr>
        <w:t>R</w:t>
      </w:r>
      <w:r w:rsidR="0071722D" w:rsidRPr="00104E94">
        <w:rPr>
          <w:rFonts w:ascii="Times New Roman Bold" w:hAnsi="Times New Roman Bold"/>
          <w:b/>
          <w:smallCaps/>
          <w:sz w:val="24"/>
        </w:rPr>
        <w:t>etirement Plan Consulting Services</w:t>
      </w:r>
    </w:p>
    <w:p w14:paraId="3F266B3A" w14:textId="19954115" w:rsidR="00C479AD" w:rsidRPr="00104E94" w:rsidRDefault="00C479AD" w:rsidP="00C479AD">
      <w:pPr>
        <w:ind w:left="720" w:right="720"/>
        <w:jc w:val="both"/>
        <w:rPr>
          <w:b/>
          <w:bCs/>
          <w:u w:val="single"/>
        </w:rPr>
      </w:pPr>
      <w:r w:rsidRPr="00104E94">
        <w:rPr>
          <w:bCs/>
        </w:rPr>
        <w:t>If a client determines to engage the Registrant to provide retirement plan consulting services, Registrant</w:t>
      </w:r>
      <w:r w:rsidR="00690BEA" w:rsidRPr="00104E94">
        <w:rPr>
          <w:bCs/>
        </w:rPr>
        <w:t>’</w:t>
      </w:r>
      <w:r w:rsidRPr="00104E94">
        <w:rPr>
          <w:bCs/>
        </w:rPr>
        <w:t xml:space="preserve">s annual fee will be based on a percentage (%) of the assets within the </w:t>
      </w:r>
      <w:r w:rsidR="00C26989" w:rsidRPr="00104E94">
        <w:rPr>
          <w:bCs/>
        </w:rPr>
        <w:t>plan and</w:t>
      </w:r>
      <w:r w:rsidRPr="00104E94">
        <w:rPr>
          <w:bCs/>
        </w:rPr>
        <w:t xml:space="preserve"> shall generall</w:t>
      </w:r>
      <w:r w:rsidR="00940865" w:rsidRPr="00104E94">
        <w:rPr>
          <w:bCs/>
        </w:rPr>
        <w:t>y vary (between 0.10% and 0.75%)</w:t>
      </w:r>
      <w:r w:rsidRPr="00104E94">
        <w:rPr>
          <w:bCs/>
        </w:rPr>
        <w:t xml:space="preserve"> depending upon the level and scope of service</w:t>
      </w:r>
      <w:r w:rsidR="005D3398">
        <w:rPr>
          <w:bCs/>
        </w:rPr>
        <w:t>s</w:t>
      </w:r>
      <w:r w:rsidRPr="00104E94">
        <w:rPr>
          <w:bCs/>
        </w:rPr>
        <w:t xml:space="preserve"> required and the professi</w:t>
      </w:r>
      <w:r w:rsidR="004F300E">
        <w:rPr>
          <w:bCs/>
        </w:rPr>
        <w:t>onal rendering the service</w:t>
      </w:r>
      <w:r w:rsidR="005D3398">
        <w:rPr>
          <w:bCs/>
        </w:rPr>
        <w:t>s</w:t>
      </w:r>
      <w:r w:rsidR="004F300E">
        <w:rPr>
          <w:bCs/>
        </w:rPr>
        <w:t xml:space="preserve">. </w:t>
      </w:r>
      <w:r w:rsidRPr="00104E94">
        <w:rPr>
          <w:bCs/>
        </w:rPr>
        <w:t>The fee is payable quarterly in arrears</w:t>
      </w:r>
      <w:r w:rsidR="00AC7F33" w:rsidRPr="00104E94">
        <w:rPr>
          <w:bCs/>
        </w:rPr>
        <w:t xml:space="preserve">. </w:t>
      </w:r>
    </w:p>
    <w:p w14:paraId="3FEC7500" w14:textId="77777777" w:rsidR="00D43128" w:rsidRPr="00104E94" w:rsidRDefault="00D43128" w:rsidP="004F300E">
      <w:pPr>
        <w:rPr>
          <w:rFonts w:ascii="Times New Roman Bold" w:hAnsi="Times New Roman Bold"/>
          <w:b/>
          <w:bCs/>
          <w:smallCaps/>
          <w:sz w:val="24"/>
        </w:rPr>
      </w:pPr>
    </w:p>
    <w:p w14:paraId="6D514E2C" w14:textId="77777777" w:rsidR="008314C8" w:rsidRPr="00104E94" w:rsidRDefault="005E538F" w:rsidP="004F300E">
      <w:pPr>
        <w:spacing w:after="120"/>
        <w:ind w:left="720" w:right="720"/>
        <w:jc w:val="center"/>
        <w:rPr>
          <w:rFonts w:ascii="Times New Roman Bold" w:hAnsi="Times New Roman Bold"/>
          <w:b/>
          <w:bCs/>
          <w:smallCaps/>
          <w:sz w:val="24"/>
        </w:rPr>
      </w:pPr>
      <w:r w:rsidRPr="00104E94">
        <w:rPr>
          <w:rFonts w:ascii="Times New Roman Bold" w:hAnsi="Times New Roman Bold"/>
          <w:b/>
          <w:bCs/>
          <w:smallCaps/>
          <w:sz w:val="24"/>
        </w:rPr>
        <w:t>F</w:t>
      </w:r>
      <w:r w:rsidR="0071722D" w:rsidRPr="00104E94">
        <w:rPr>
          <w:rFonts w:ascii="Times New Roman Bold" w:hAnsi="Times New Roman Bold"/>
          <w:b/>
          <w:bCs/>
          <w:smallCaps/>
          <w:sz w:val="24"/>
        </w:rPr>
        <w:t>inancial Consulting Services (Stand-Alone)</w:t>
      </w:r>
    </w:p>
    <w:p w14:paraId="6330F1A2" w14:textId="14C7A6D9" w:rsidR="00FA5770" w:rsidRPr="00104E94" w:rsidRDefault="008314C8" w:rsidP="00522C71">
      <w:pPr>
        <w:ind w:left="720" w:right="720"/>
        <w:jc w:val="both"/>
      </w:pPr>
      <w:r w:rsidRPr="00104E94">
        <w:rPr>
          <w:u w:val="single"/>
        </w:rPr>
        <w:t xml:space="preserve">To the extent </w:t>
      </w:r>
      <w:r w:rsidR="00F6318E" w:rsidRPr="00104E94">
        <w:rPr>
          <w:u w:val="single"/>
        </w:rPr>
        <w:t xml:space="preserve">specifically </w:t>
      </w:r>
      <w:r w:rsidRPr="00104E94">
        <w:rPr>
          <w:u w:val="single"/>
        </w:rPr>
        <w:t>requested by the client</w:t>
      </w:r>
      <w:r w:rsidRPr="00104E94">
        <w:t xml:space="preserve">, the Registrant </w:t>
      </w:r>
      <w:r w:rsidRPr="00104E94">
        <w:rPr>
          <w:iCs/>
        </w:rPr>
        <w:t>may</w:t>
      </w:r>
      <w:r w:rsidRPr="00104E94">
        <w:t xml:space="preserve"> determine to provide consulting services (including investment and non-investment related matters) on a stand-alone hourly or fixed fee basis, depending upon the level and scope of the service</w:t>
      </w:r>
      <w:r w:rsidR="005D3398">
        <w:t>s</w:t>
      </w:r>
      <w:r w:rsidRPr="00104E94">
        <w:t xml:space="preserve"> required and the professional</w:t>
      </w:r>
      <w:r w:rsidR="005D3398">
        <w:t>s</w:t>
      </w:r>
      <w:r w:rsidRPr="00104E94">
        <w:t xml:space="preserve"> rendering the service</w:t>
      </w:r>
      <w:r w:rsidR="005D3398">
        <w:t>s</w:t>
      </w:r>
      <w:r w:rsidR="00AC7F33" w:rsidRPr="00104E94">
        <w:t xml:space="preserve">. </w:t>
      </w:r>
      <w:r w:rsidR="00834403">
        <w:t>Before</w:t>
      </w:r>
      <w:r w:rsidRPr="00104E94">
        <w:t xml:space="preserve"> </w:t>
      </w:r>
      <w:r w:rsidR="006D0DDF">
        <w:t xml:space="preserve">engaging </w:t>
      </w:r>
      <w:r w:rsidRPr="00104E94">
        <w:t xml:space="preserve">the Registrant to provide consulting services, clients are generally required to enter into a </w:t>
      </w:r>
      <w:r w:rsidRPr="00104E94">
        <w:rPr>
          <w:iCs/>
        </w:rPr>
        <w:t xml:space="preserve">Limited Consulting Agreement </w:t>
      </w:r>
      <w:r w:rsidRPr="00104E94">
        <w:t xml:space="preserve">with Registrant setting forth the terms and conditions of the engagement (including termination), describing the scope of the services to be provided, and the portion of the fee that is due from the client prior to Registrant commencing services. </w:t>
      </w:r>
    </w:p>
    <w:p w14:paraId="67B2B33C" w14:textId="77777777" w:rsidR="001F2318" w:rsidRPr="00104E94" w:rsidRDefault="001F2318" w:rsidP="00522C71">
      <w:pPr>
        <w:ind w:left="720" w:right="720"/>
        <w:jc w:val="both"/>
      </w:pPr>
    </w:p>
    <w:p w14:paraId="4D92E767" w14:textId="49B83507" w:rsidR="005E538F" w:rsidRPr="00104E94" w:rsidRDefault="00473B1D" w:rsidP="00C479AD">
      <w:pPr>
        <w:numPr>
          <w:ilvl w:val="0"/>
          <w:numId w:val="6"/>
        </w:numPr>
        <w:ind w:right="720"/>
        <w:jc w:val="both"/>
      </w:pPr>
      <w:r w:rsidRPr="00104E94">
        <w:t>Clients may elect to have the Registrant</w:t>
      </w:r>
      <w:r w:rsidR="00690BEA" w:rsidRPr="00104E94">
        <w:t>’</w:t>
      </w:r>
      <w:r w:rsidRPr="00104E94">
        <w:t>s advisory fees deducted from their custodial account. Both Registrant</w:t>
      </w:r>
      <w:r w:rsidR="00690BEA" w:rsidRPr="00104E94">
        <w:t>’</w:t>
      </w:r>
      <w:r w:rsidRPr="00104E94">
        <w:t xml:space="preserve">s </w:t>
      </w:r>
      <w:r w:rsidRPr="00104E94">
        <w:rPr>
          <w:iCs/>
        </w:rPr>
        <w:t>Investment Advisory Agreement</w:t>
      </w:r>
      <w:r w:rsidRPr="00104E94">
        <w:t xml:space="preserve"> and the custodial/clearing agreement may authorize the custodian to debit the account </w:t>
      </w:r>
      <w:r w:rsidR="00932FAC" w:rsidRPr="00104E94">
        <w:t>for</w:t>
      </w:r>
      <w:r w:rsidRPr="00104E94">
        <w:t xml:space="preserve"> the Registrant</w:t>
      </w:r>
      <w:r w:rsidR="00690BEA" w:rsidRPr="00104E94">
        <w:t>’</w:t>
      </w:r>
      <w:r w:rsidRPr="00104E94">
        <w:t xml:space="preserve">s investment advisory fee and to directly remit that management fee to the Registrant in compliance with regulatory procedures. </w:t>
      </w:r>
      <w:r w:rsidR="00386342" w:rsidRPr="00104E94">
        <w:t xml:space="preserve">The Registrant shall deduct fees and/or bill clients quarterly in arrears, based upon the market value of the assets on the last business day of the previous quarter. </w:t>
      </w:r>
      <w:r w:rsidRPr="00104E94">
        <w:t xml:space="preserve">In the </w:t>
      </w:r>
      <w:r w:rsidR="00386342">
        <w:t>exceptional</w:t>
      </w:r>
      <w:r w:rsidRPr="00104E94">
        <w:t xml:space="preserve"> event that the Registrant bills the client directly, payment is due upon receipt of the Registrant</w:t>
      </w:r>
      <w:r w:rsidR="00690BEA" w:rsidRPr="00104E94">
        <w:t>’</w:t>
      </w:r>
      <w:r w:rsidRPr="00104E94">
        <w:t>s invoice.</w:t>
      </w:r>
    </w:p>
    <w:p w14:paraId="17C435C2" w14:textId="77777777" w:rsidR="006D734D" w:rsidRPr="00104E94" w:rsidRDefault="006D734D"/>
    <w:p w14:paraId="5D4F170F" w14:textId="6E1C8918" w:rsidR="00486D89" w:rsidRPr="00104E94" w:rsidRDefault="00473B1D" w:rsidP="00865091">
      <w:pPr>
        <w:numPr>
          <w:ilvl w:val="0"/>
          <w:numId w:val="6"/>
        </w:numPr>
        <w:spacing w:after="240"/>
        <w:ind w:right="720"/>
        <w:jc w:val="both"/>
      </w:pPr>
      <w:r w:rsidRPr="00104E94">
        <w:t>As discussed below, unless the client directs otherwise or an individual client</w:t>
      </w:r>
      <w:r w:rsidR="00690BEA" w:rsidRPr="00104E94">
        <w:t>’</w:t>
      </w:r>
      <w:r w:rsidRPr="00104E94">
        <w:t>s circumstances require, the Registrant shall generally recommend that Charles Schwab and Co.,</w:t>
      </w:r>
      <w:r w:rsidR="00932FAC">
        <w:t xml:space="preserve"> </w:t>
      </w:r>
      <w:r w:rsidRPr="00104E94">
        <w:t xml:space="preserve">Inc. </w:t>
      </w:r>
      <w:r w:rsidR="00486D89" w:rsidRPr="00104E94">
        <w:t xml:space="preserve">and its affiliates </w:t>
      </w:r>
      <w:r w:rsidRPr="00104E94">
        <w:t>(</w:t>
      </w:r>
      <w:r w:rsidR="00690BEA" w:rsidRPr="00104E94">
        <w:t>“</w:t>
      </w:r>
      <w:r w:rsidRPr="00104E94">
        <w:t>Schwab</w:t>
      </w:r>
      <w:r w:rsidR="00690BEA" w:rsidRPr="00104E94">
        <w:rPr>
          <w:iCs/>
        </w:rPr>
        <w:t>”</w:t>
      </w:r>
      <w:r w:rsidRPr="00104E94">
        <w:rPr>
          <w:iCs/>
        </w:rPr>
        <w:t>)</w:t>
      </w:r>
      <w:r w:rsidRPr="00104E94">
        <w:t xml:space="preserve"> serve as the broker-dealer/custodian for client</w:t>
      </w:r>
      <w:r w:rsidR="006F6FC7" w:rsidRPr="00104E94">
        <w:t xml:space="preserve"> </w:t>
      </w:r>
      <w:r w:rsidR="00040917" w:rsidRPr="00104E94">
        <w:t>investment advisory</w:t>
      </w:r>
      <w:r w:rsidR="006F6FC7" w:rsidRPr="00104E94">
        <w:t xml:space="preserve"> assets.</w:t>
      </w:r>
      <w:r w:rsidR="008314C8" w:rsidRPr="00104E94">
        <w:rPr>
          <w:sz w:val="20"/>
          <w:szCs w:val="20"/>
        </w:rPr>
        <w:t xml:space="preserve"> </w:t>
      </w:r>
      <w:r w:rsidR="00834403" w:rsidRPr="003C68B1">
        <w:t xml:space="preserve">Broker-dealers charge transaction fees for </w:t>
      </w:r>
      <w:r w:rsidR="00C57724">
        <w:t>executing</w:t>
      </w:r>
      <w:r w:rsidR="00834403" w:rsidRPr="003C68B1">
        <w:t xml:space="preserve"> c</w:t>
      </w:r>
      <w:r w:rsidR="00834403">
        <w:t xml:space="preserve">ertain securities transactions according to their fee schedule, and they or their affiliated custodians also impose charges for </w:t>
      </w:r>
      <w:r w:rsidR="00834403" w:rsidRPr="00C453FA">
        <w:t>custodial services</w:t>
      </w:r>
      <w:r w:rsidR="00834403">
        <w:t xml:space="preserve"> / </w:t>
      </w:r>
      <w:r w:rsidR="00834403" w:rsidRPr="00C453FA">
        <w:t>fees associated with maintaining the</w:t>
      </w:r>
      <w:r w:rsidR="00834403">
        <w:t xml:space="preserve"> client’s</w:t>
      </w:r>
      <w:r w:rsidR="00834403" w:rsidRPr="00C453FA">
        <w:t xml:space="preserve"> </w:t>
      </w:r>
      <w:r w:rsidR="00834403" w:rsidRPr="00C453FA">
        <w:lastRenderedPageBreak/>
        <w:t>account</w:t>
      </w:r>
      <w:r w:rsidR="00834403" w:rsidRPr="003C68B1">
        <w:t xml:space="preserve">. </w:t>
      </w:r>
      <w:r w:rsidR="00C57724" w:rsidRPr="00C57724">
        <w:t xml:space="preserve">The Registrant has negotiated a transaction fee/commission rate schedule with </w:t>
      </w:r>
      <w:r w:rsidR="00C57724" w:rsidRPr="00C57724">
        <w:rPr>
          <w:iCs/>
        </w:rPr>
        <w:t>Schwab</w:t>
      </w:r>
      <w:r w:rsidR="00C57724" w:rsidRPr="00C57724">
        <w:t xml:space="preserve"> that is discounted from </w:t>
      </w:r>
      <w:r w:rsidR="00C57724" w:rsidRPr="00C57724">
        <w:rPr>
          <w:iCs/>
        </w:rPr>
        <w:t xml:space="preserve">Schwab’s </w:t>
      </w:r>
      <w:r w:rsidR="00C57724" w:rsidRPr="00C57724">
        <w:t>standard rates.</w:t>
      </w:r>
      <w:r w:rsidR="00C57724" w:rsidRPr="00104E94">
        <w:t xml:space="preserve"> However, the rates paid by Registrant’s clients may be more or less than those charged by </w:t>
      </w:r>
      <w:r w:rsidR="00C57724">
        <w:t>other broker-dealers/custodians</w:t>
      </w:r>
      <w:r w:rsidR="00AC7F33" w:rsidRPr="00104E94">
        <w:t xml:space="preserve">. </w:t>
      </w:r>
      <w:r w:rsidR="00834403">
        <w:t xml:space="preserve">For mutual fund and </w:t>
      </w:r>
      <w:r w:rsidR="00834403" w:rsidRPr="003C68B1">
        <w:t>ETF</w:t>
      </w:r>
      <w:r w:rsidR="00834403">
        <w:t xml:space="preserve"> </w:t>
      </w:r>
      <w:r w:rsidR="00834403" w:rsidRPr="003C68B1">
        <w:t>purchases</w:t>
      </w:r>
      <w:r w:rsidR="00834403">
        <w:t xml:space="preserve">, clients will incur </w:t>
      </w:r>
      <w:r w:rsidR="00834403" w:rsidRPr="003C68B1">
        <w:t xml:space="preserve">charges imposed </w:t>
      </w:r>
      <w:r w:rsidR="00834403">
        <w:t>by the</w:t>
      </w:r>
      <w:r w:rsidR="00834403" w:rsidRPr="003C68B1">
        <w:t xml:space="preserve"> </w:t>
      </w:r>
      <w:r w:rsidR="00834403">
        <w:t>respective fund, which represent the client’s pro rata share of the fund’s management fee and other fund expenses. These fees and expenses are described in each fund’s prospectus or other offering documents</w:t>
      </w:r>
      <w:r w:rsidR="00834403" w:rsidRPr="003C68B1">
        <w:t>.</w:t>
      </w:r>
      <w:r w:rsidR="00834403">
        <w:t xml:space="preserve"> </w:t>
      </w:r>
      <w:r w:rsidR="00865091" w:rsidRPr="00104E94">
        <w:t xml:space="preserve">When beneficial to the client, individual fixed </w:t>
      </w:r>
      <w:r w:rsidR="002F060E" w:rsidRPr="00104E94">
        <w:t>income transactions</w:t>
      </w:r>
      <w:r w:rsidR="00865091" w:rsidRPr="00104E94">
        <w:t xml:space="preserve"> may be </w:t>
      </w:r>
      <w:r w:rsidR="00865091">
        <w:t>executed</w:t>
      </w:r>
      <w:r w:rsidR="00865091" w:rsidRPr="00104E94">
        <w:t xml:space="preserve"> through broker-dealers with whom Registrant or the client have entered into arrangements for prime brokerage clearing services (in which event, the client shall generally incur both the transaction fee charged by the </w:t>
      </w:r>
      <w:r w:rsidR="00865091" w:rsidRPr="00C57724">
        <w:t>executing broker-dealer and a “</w:t>
      </w:r>
      <w:proofErr w:type="spellStart"/>
      <w:r w:rsidR="00865091" w:rsidRPr="00C57724">
        <w:t>tradeaway</w:t>
      </w:r>
      <w:proofErr w:type="spellEnd"/>
      <w:r w:rsidR="00865091" w:rsidRPr="00C57724">
        <w:t xml:space="preserve">” fee charged by the custodian, generally </w:t>
      </w:r>
      <w:r w:rsidR="00865091" w:rsidRPr="00C57724">
        <w:rPr>
          <w:iCs/>
        </w:rPr>
        <w:t>Schwab</w:t>
      </w:r>
      <w:r w:rsidR="00865091" w:rsidRPr="00C57724">
        <w:t xml:space="preserve">). </w:t>
      </w:r>
      <w:r w:rsidR="00834403" w:rsidRPr="00B960A9">
        <w:t xml:space="preserve">The fees charged by </w:t>
      </w:r>
      <w:r w:rsidR="00834403">
        <w:t>the applicable broker-dealer/custodian</w:t>
      </w:r>
      <w:r w:rsidR="00834403" w:rsidRPr="00B960A9">
        <w:t xml:space="preserve">, </w:t>
      </w:r>
      <w:r w:rsidR="00834403">
        <w:t>and the</w:t>
      </w:r>
      <w:r w:rsidR="00834403" w:rsidRPr="00B960A9">
        <w:t xml:space="preserve"> charges imposed </w:t>
      </w:r>
      <w:r w:rsidR="00834403">
        <w:t>by</w:t>
      </w:r>
      <w:r w:rsidR="00834403" w:rsidRPr="00B960A9">
        <w:t xml:space="preserve"> mutual fund</w:t>
      </w:r>
      <w:r w:rsidR="00834403">
        <w:t>s</w:t>
      </w:r>
      <w:r w:rsidR="00834403" w:rsidRPr="00B960A9">
        <w:t xml:space="preserve"> </w:t>
      </w:r>
      <w:r w:rsidR="00834403">
        <w:t>and ETFs</w:t>
      </w:r>
      <w:r w:rsidR="00834403" w:rsidRPr="00B960A9">
        <w:t xml:space="preserve">, are </w:t>
      </w:r>
      <w:r w:rsidR="00834403">
        <w:t xml:space="preserve">separate from and </w:t>
      </w:r>
      <w:r w:rsidR="00834403" w:rsidRPr="00B960A9">
        <w:t xml:space="preserve">in addition to </w:t>
      </w:r>
      <w:r w:rsidR="00834403">
        <w:t>Registrant</w:t>
      </w:r>
      <w:r w:rsidR="00834403" w:rsidRPr="00B960A9">
        <w:t xml:space="preserve">’s advisory fee referenced in </w:t>
      </w:r>
      <w:r w:rsidR="00834403">
        <w:t xml:space="preserve">this </w:t>
      </w:r>
      <w:r w:rsidR="00834403" w:rsidRPr="00B960A9">
        <w:t>Item 5.</w:t>
      </w:r>
      <w:r w:rsidR="00834403">
        <w:t xml:space="preserve"> Registrant does not share in any portion of those fees or expenses. </w:t>
      </w:r>
    </w:p>
    <w:p w14:paraId="3E349482" w14:textId="2845694B" w:rsidR="00473B1D" w:rsidRPr="00104E94" w:rsidRDefault="00764B8E" w:rsidP="00725C1A">
      <w:pPr>
        <w:pStyle w:val="BodyText2"/>
        <w:numPr>
          <w:ilvl w:val="0"/>
          <w:numId w:val="6"/>
        </w:numPr>
        <w:ind w:right="720"/>
        <w:rPr>
          <w:sz w:val="22"/>
          <w:szCs w:val="22"/>
        </w:rPr>
      </w:pPr>
      <w:r w:rsidRPr="00764B8E">
        <w:rPr>
          <w:sz w:val="22"/>
          <w:szCs w:val="22"/>
        </w:rPr>
        <w:t>Except as specifically agreed in writing, R</w:t>
      </w:r>
      <w:r w:rsidR="00473B1D" w:rsidRPr="00764B8E">
        <w:rPr>
          <w:sz w:val="22"/>
          <w:szCs w:val="22"/>
        </w:rPr>
        <w:t>egistrant</w:t>
      </w:r>
      <w:r w:rsidR="00690BEA" w:rsidRPr="00764B8E">
        <w:rPr>
          <w:sz w:val="22"/>
          <w:szCs w:val="22"/>
        </w:rPr>
        <w:t>’</w:t>
      </w:r>
      <w:r w:rsidR="00473B1D" w:rsidRPr="00764B8E">
        <w:rPr>
          <w:sz w:val="22"/>
          <w:szCs w:val="22"/>
        </w:rPr>
        <w:t>s annual investment advisory fee</w:t>
      </w:r>
      <w:r w:rsidR="00B01438" w:rsidRPr="00764B8E">
        <w:rPr>
          <w:sz w:val="22"/>
          <w:szCs w:val="22"/>
        </w:rPr>
        <w:t>s</w:t>
      </w:r>
      <w:r w:rsidR="00473B1D" w:rsidRPr="00764B8E">
        <w:rPr>
          <w:sz w:val="22"/>
          <w:szCs w:val="22"/>
        </w:rPr>
        <w:t xml:space="preserve"> shall be prorated and paid</w:t>
      </w:r>
      <w:r w:rsidR="00F6318E" w:rsidRPr="00764B8E">
        <w:rPr>
          <w:sz w:val="22"/>
          <w:szCs w:val="22"/>
        </w:rPr>
        <w:t xml:space="preserve"> quarterly, in</w:t>
      </w:r>
      <w:r w:rsidR="00473B1D" w:rsidRPr="00764B8E">
        <w:rPr>
          <w:sz w:val="22"/>
          <w:szCs w:val="22"/>
        </w:rPr>
        <w:t xml:space="preserve"> </w:t>
      </w:r>
      <w:r w:rsidR="008314C8" w:rsidRPr="00764B8E">
        <w:rPr>
          <w:sz w:val="22"/>
          <w:szCs w:val="22"/>
        </w:rPr>
        <w:t>arrears</w:t>
      </w:r>
      <w:r w:rsidR="00473B1D" w:rsidRPr="00764B8E">
        <w:rPr>
          <w:sz w:val="22"/>
          <w:szCs w:val="22"/>
        </w:rPr>
        <w:t>, based upon the market value of the assets on the last business day of the previous quarter.</w:t>
      </w:r>
      <w:r w:rsidR="008314C8" w:rsidRPr="00764B8E">
        <w:t xml:space="preserve"> </w:t>
      </w:r>
      <w:r w:rsidR="00473B1D" w:rsidRPr="00764B8E">
        <w:rPr>
          <w:sz w:val="22"/>
          <w:szCs w:val="22"/>
        </w:rPr>
        <w:t>The</w:t>
      </w:r>
      <w:r w:rsidR="00473B1D" w:rsidRPr="00104E94">
        <w:rPr>
          <w:sz w:val="22"/>
          <w:szCs w:val="22"/>
        </w:rPr>
        <w:t xml:space="preserve"> </w:t>
      </w:r>
      <w:r w:rsidR="00C479AD" w:rsidRPr="00104E94">
        <w:rPr>
          <w:iCs/>
          <w:sz w:val="22"/>
          <w:szCs w:val="22"/>
        </w:rPr>
        <w:t xml:space="preserve">Investment Advisory Agreement, </w:t>
      </w:r>
      <w:r w:rsidR="000D2711" w:rsidRPr="00104E94">
        <w:rPr>
          <w:iCs/>
          <w:sz w:val="22"/>
          <w:szCs w:val="22"/>
        </w:rPr>
        <w:t>Retirement Plan Services Agreement</w:t>
      </w:r>
      <w:r w:rsidR="00C479AD" w:rsidRPr="00104E94">
        <w:rPr>
          <w:iCs/>
          <w:sz w:val="22"/>
          <w:szCs w:val="22"/>
        </w:rPr>
        <w:t>, or Limited Consulting Agreement</w:t>
      </w:r>
      <w:r w:rsidR="00C479AD" w:rsidRPr="00104E94">
        <w:rPr>
          <w:sz w:val="22"/>
          <w:szCs w:val="22"/>
        </w:rPr>
        <w:t xml:space="preserve"> </w:t>
      </w:r>
      <w:r w:rsidR="00473B1D" w:rsidRPr="00104E94">
        <w:rPr>
          <w:sz w:val="22"/>
          <w:szCs w:val="22"/>
        </w:rPr>
        <w:t xml:space="preserve">between the Registrant and the client will continue in effect until terminated by either party by written notice in </w:t>
      </w:r>
      <w:r w:rsidR="00C479AD" w:rsidRPr="00104E94">
        <w:rPr>
          <w:sz w:val="22"/>
          <w:szCs w:val="22"/>
        </w:rPr>
        <w:t>accordance with the terms of the applicable Agreement</w:t>
      </w:r>
      <w:r w:rsidR="00473B1D" w:rsidRPr="00104E94">
        <w:rPr>
          <w:sz w:val="22"/>
          <w:szCs w:val="22"/>
        </w:rPr>
        <w:t>.</w:t>
      </w:r>
      <w:r w:rsidR="008314C8" w:rsidRPr="00104E94">
        <w:t xml:space="preserve"> </w:t>
      </w:r>
      <w:r w:rsidR="008314C8" w:rsidRPr="00104E94">
        <w:rPr>
          <w:sz w:val="22"/>
          <w:szCs w:val="22"/>
        </w:rPr>
        <w:t>Upon termination</w:t>
      </w:r>
      <w:r w:rsidR="00C479AD" w:rsidRPr="00104E94">
        <w:rPr>
          <w:sz w:val="22"/>
          <w:szCs w:val="22"/>
        </w:rPr>
        <w:t xml:space="preserve">, the Registrant shall: </w:t>
      </w:r>
      <w:r w:rsidR="008314C8" w:rsidRPr="00104E94">
        <w:rPr>
          <w:sz w:val="22"/>
          <w:szCs w:val="22"/>
        </w:rPr>
        <w:t>debit the pro-rated portion of the unpaid advisory fee paid based upon the number of days services were provi</w:t>
      </w:r>
      <w:r w:rsidR="00C479AD" w:rsidRPr="00104E94">
        <w:rPr>
          <w:sz w:val="22"/>
          <w:szCs w:val="22"/>
        </w:rPr>
        <w:t xml:space="preserve">ded during the billing quarter; or the refund the balance of any unearned fee. </w:t>
      </w:r>
    </w:p>
    <w:p w14:paraId="023214F3" w14:textId="77777777" w:rsidR="00473B1D" w:rsidRPr="00104E94" w:rsidRDefault="00473B1D">
      <w:pPr>
        <w:pStyle w:val="ListParagraph"/>
      </w:pPr>
      <w:r w:rsidRPr="00104E94">
        <w:t xml:space="preserve"> </w:t>
      </w:r>
    </w:p>
    <w:p w14:paraId="52360949" w14:textId="1DC97EED" w:rsidR="00330DE2" w:rsidRPr="00BF0DEC" w:rsidRDefault="00F74CE5" w:rsidP="00CF7500">
      <w:pPr>
        <w:pStyle w:val="BodyText"/>
        <w:numPr>
          <w:ilvl w:val="0"/>
          <w:numId w:val="6"/>
        </w:numPr>
        <w:ind w:right="720"/>
        <w:jc w:val="both"/>
        <w:rPr>
          <w:b/>
          <w:bCs/>
          <w:sz w:val="24"/>
          <w:szCs w:val="28"/>
        </w:rPr>
      </w:pPr>
      <w:bookmarkStart w:id="14" w:name="_Toc273621956"/>
      <w:r w:rsidRPr="00104E94">
        <w:t>Neither the Registrant, nor its representatives accept compensation from the sale of securities or other investment products</w:t>
      </w:r>
      <w:bookmarkStart w:id="15" w:name="_Toc351646174"/>
      <w:r w:rsidR="00AC7F33" w:rsidRPr="00104E94">
        <w:t xml:space="preserve">. </w:t>
      </w:r>
    </w:p>
    <w:p w14:paraId="633A083C" w14:textId="67E4DE6E" w:rsidR="00473B1D" w:rsidRPr="00104E94" w:rsidRDefault="00473B1D">
      <w:pPr>
        <w:pStyle w:val="Heading1"/>
      </w:pPr>
      <w:bookmarkStart w:id="16" w:name="_Toc130818860"/>
      <w:r w:rsidRPr="00104E94">
        <w:t>Item 6</w:t>
      </w:r>
      <w:r w:rsidRPr="00104E94">
        <w:tab/>
        <w:t>Performance-Based Fees and Side-by-Side Management</w:t>
      </w:r>
      <w:bookmarkEnd w:id="14"/>
      <w:bookmarkEnd w:id="15"/>
      <w:bookmarkEnd w:id="16"/>
    </w:p>
    <w:p w14:paraId="445ADCC8" w14:textId="77777777" w:rsidR="00473B1D" w:rsidRPr="00104E94" w:rsidRDefault="00473B1D"/>
    <w:p w14:paraId="6CD4CF94" w14:textId="4DDD47C0" w:rsidR="00442AFA" w:rsidRPr="004F300E" w:rsidRDefault="00B2050B" w:rsidP="004F300E">
      <w:pPr>
        <w:ind w:left="720" w:right="720"/>
        <w:jc w:val="both"/>
      </w:pPr>
      <w:r>
        <w:t xml:space="preserve">Neither the </w:t>
      </w:r>
      <w:r w:rsidR="00473B1D" w:rsidRPr="00104E94">
        <w:t xml:space="preserve">Registrant nor any supervised person of the Registrant </w:t>
      </w:r>
      <w:r w:rsidR="00BF0DEC">
        <w:t>is a party to any performance or incentive-related arrangement with its clients</w:t>
      </w:r>
      <w:r w:rsidR="00473B1D" w:rsidRPr="00104E94">
        <w:t xml:space="preserve">. </w:t>
      </w:r>
      <w:bookmarkStart w:id="17" w:name="_Toc273621957"/>
      <w:bookmarkStart w:id="18" w:name="_Toc351646175"/>
    </w:p>
    <w:p w14:paraId="3B2C4253" w14:textId="77777777" w:rsidR="00473B1D" w:rsidRPr="00104E94" w:rsidRDefault="00473B1D">
      <w:pPr>
        <w:pStyle w:val="Heading1"/>
      </w:pPr>
      <w:bookmarkStart w:id="19" w:name="_Toc130818861"/>
      <w:r w:rsidRPr="00104E94">
        <w:t>Item 7</w:t>
      </w:r>
      <w:r w:rsidRPr="00104E94">
        <w:tab/>
        <w:t>Types of Clients</w:t>
      </w:r>
      <w:bookmarkEnd w:id="17"/>
      <w:bookmarkEnd w:id="18"/>
      <w:bookmarkEnd w:id="19"/>
    </w:p>
    <w:p w14:paraId="2BF930D0" w14:textId="77777777" w:rsidR="00473B1D" w:rsidRPr="00104E94" w:rsidRDefault="00473B1D">
      <w:pPr>
        <w:ind w:left="720" w:hanging="360"/>
      </w:pPr>
    </w:p>
    <w:p w14:paraId="11D25A0E" w14:textId="57C45514" w:rsidR="00A028E2" w:rsidRDefault="00473B1D" w:rsidP="004F300E">
      <w:pPr>
        <w:pStyle w:val="BodyText2"/>
        <w:ind w:left="720" w:right="720"/>
        <w:rPr>
          <w:sz w:val="22"/>
          <w:szCs w:val="22"/>
          <w:u w:val="single"/>
        </w:rPr>
      </w:pPr>
      <w:r w:rsidRPr="004F300E">
        <w:rPr>
          <w:sz w:val="22"/>
          <w:szCs w:val="22"/>
        </w:rPr>
        <w:t>The Registrant</w:t>
      </w:r>
      <w:r w:rsidR="00690BEA" w:rsidRPr="004F300E">
        <w:rPr>
          <w:sz w:val="22"/>
          <w:szCs w:val="22"/>
        </w:rPr>
        <w:t>’</w:t>
      </w:r>
      <w:r w:rsidRPr="004F300E">
        <w:rPr>
          <w:sz w:val="22"/>
          <w:szCs w:val="22"/>
        </w:rPr>
        <w:t>s clients generally include</w:t>
      </w:r>
      <w:r w:rsidR="004F300E" w:rsidRPr="004F300E">
        <w:rPr>
          <w:sz w:val="22"/>
          <w:szCs w:val="22"/>
        </w:rPr>
        <w:t xml:space="preserve"> individua</w:t>
      </w:r>
      <w:r w:rsidR="00F352ED">
        <w:rPr>
          <w:sz w:val="22"/>
          <w:szCs w:val="22"/>
        </w:rPr>
        <w:t>ls, high net worth individuals,</w:t>
      </w:r>
      <w:r w:rsidR="00F352ED" w:rsidRPr="00F352ED">
        <w:rPr>
          <w:sz w:val="22"/>
          <w:szCs w:val="22"/>
        </w:rPr>
        <w:t xml:space="preserve"> pension and </w:t>
      </w:r>
      <w:r w:rsidR="002F060E" w:rsidRPr="00F352ED">
        <w:rPr>
          <w:sz w:val="22"/>
          <w:szCs w:val="22"/>
        </w:rPr>
        <w:t>profit-sharing</w:t>
      </w:r>
      <w:r w:rsidR="00F352ED" w:rsidRPr="00F352ED">
        <w:rPr>
          <w:sz w:val="22"/>
          <w:szCs w:val="22"/>
        </w:rPr>
        <w:t xml:space="preserve"> plans, </w:t>
      </w:r>
      <w:r w:rsidR="004F300E" w:rsidRPr="00F352ED">
        <w:rPr>
          <w:sz w:val="22"/>
          <w:szCs w:val="22"/>
        </w:rPr>
        <w:t>business entities, trusts, estates and charitable organizations</w:t>
      </w:r>
      <w:r w:rsidR="004F300E">
        <w:rPr>
          <w:sz w:val="22"/>
          <w:szCs w:val="22"/>
        </w:rPr>
        <w:t xml:space="preserve">. </w:t>
      </w:r>
      <w:bookmarkStart w:id="20" w:name="_Toc273621958"/>
      <w:bookmarkStart w:id="21" w:name="_Toc351646176"/>
      <w:r w:rsidR="000D2711" w:rsidRPr="004F300E">
        <w:rPr>
          <w:sz w:val="22"/>
          <w:szCs w:val="22"/>
        </w:rPr>
        <w:t xml:space="preserve">While the Registrant does not impose any </w:t>
      </w:r>
      <w:r w:rsidR="000D2711" w:rsidRPr="00330DE2">
        <w:rPr>
          <w:sz w:val="22"/>
          <w:szCs w:val="22"/>
        </w:rPr>
        <w:t>mandatory requirements for opening or maintaining investment advisory accounts, the Registrant generally seeks to provide such services to clients having at least $500,000 in assets designated</w:t>
      </w:r>
      <w:r w:rsidR="000D2711" w:rsidRPr="004F300E">
        <w:rPr>
          <w:sz w:val="22"/>
          <w:szCs w:val="22"/>
        </w:rPr>
        <w:t xml:space="preserve"> for Registrant</w:t>
      </w:r>
      <w:r w:rsidR="00690BEA" w:rsidRPr="004F300E">
        <w:rPr>
          <w:sz w:val="22"/>
          <w:szCs w:val="22"/>
        </w:rPr>
        <w:t>’</w:t>
      </w:r>
      <w:r w:rsidR="000D2711" w:rsidRPr="004F300E">
        <w:rPr>
          <w:sz w:val="22"/>
          <w:szCs w:val="22"/>
        </w:rPr>
        <w:t xml:space="preserve">s management. </w:t>
      </w:r>
      <w:r w:rsidR="00676330">
        <w:rPr>
          <w:sz w:val="22"/>
          <w:szCs w:val="22"/>
        </w:rPr>
        <w:t>H</w:t>
      </w:r>
      <w:r w:rsidR="00BF0DEC">
        <w:rPr>
          <w:sz w:val="22"/>
          <w:szCs w:val="22"/>
        </w:rPr>
        <w:t>owever, Registrant</w:t>
      </w:r>
      <w:r w:rsidR="00442AFA" w:rsidRPr="004F300E">
        <w:rPr>
          <w:sz w:val="22"/>
          <w:szCs w:val="22"/>
        </w:rPr>
        <w:t>, in its sole discretion, may</w:t>
      </w:r>
      <w:r w:rsidR="00676330">
        <w:rPr>
          <w:sz w:val="22"/>
          <w:szCs w:val="22"/>
        </w:rPr>
        <w:t xml:space="preserve"> accept clients with less than the asset minimum</w:t>
      </w:r>
      <w:r w:rsidR="00442AFA" w:rsidRPr="004F300E">
        <w:rPr>
          <w:sz w:val="22"/>
          <w:szCs w:val="22"/>
        </w:rPr>
        <w:t xml:space="preserve">. </w:t>
      </w:r>
      <w:r w:rsidR="00220A15" w:rsidRPr="004F300E">
        <w:rPr>
          <w:sz w:val="22"/>
          <w:szCs w:val="22"/>
        </w:rPr>
        <w:t xml:space="preserve">As a result of these factors, similarly situated clients could pay different fees, the services to be provided by the Registrant to any particular client could be available from other advisers at lower fees, and certain clients may have fees different </w:t>
      </w:r>
      <w:r w:rsidR="00542004">
        <w:rPr>
          <w:sz w:val="22"/>
          <w:szCs w:val="22"/>
        </w:rPr>
        <w:t>from</w:t>
      </w:r>
      <w:r w:rsidR="00220A15" w:rsidRPr="004F300E">
        <w:rPr>
          <w:sz w:val="22"/>
          <w:szCs w:val="22"/>
        </w:rPr>
        <w:t xml:space="preserve"> those specifically set forth above. </w:t>
      </w:r>
      <w:r w:rsidR="00220A15" w:rsidRPr="004F300E">
        <w:rPr>
          <w:sz w:val="22"/>
          <w:szCs w:val="22"/>
          <w:u w:val="single"/>
        </w:rPr>
        <w:t xml:space="preserve">Registrant’s Chief Compliance Officer, </w:t>
      </w:r>
      <w:r w:rsidR="00D82D6D" w:rsidRPr="00D82D6D">
        <w:rPr>
          <w:sz w:val="22"/>
          <w:szCs w:val="22"/>
          <w:u w:val="single"/>
        </w:rPr>
        <w:t>Richard Cavanagh</w:t>
      </w:r>
      <w:r w:rsidR="00220A15" w:rsidRPr="004F300E">
        <w:rPr>
          <w:bCs/>
          <w:sz w:val="22"/>
          <w:szCs w:val="22"/>
          <w:u w:val="single"/>
        </w:rPr>
        <w:t>,</w:t>
      </w:r>
      <w:r w:rsidR="00220A15" w:rsidRPr="004F300E">
        <w:rPr>
          <w:sz w:val="22"/>
          <w:szCs w:val="22"/>
          <w:u w:val="single"/>
        </w:rPr>
        <w:t xml:space="preserve"> remains available to address any questions that a client or prospective client may have regarding the above.</w:t>
      </w:r>
    </w:p>
    <w:p w14:paraId="3EEF10EF" w14:textId="77777777" w:rsidR="00C26989" w:rsidRPr="004F300E" w:rsidRDefault="00C26989" w:rsidP="004F300E">
      <w:pPr>
        <w:pStyle w:val="BodyText2"/>
        <w:ind w:left="720" w:right="720"/>
        <w:rPr>
          <w:sz w:val="22"/>
          <w:szCs w:val="22"/>
          <w:u w:val="single"/>
        </w:rPr>
      </w:pPr>
    </w:p>
    <w:p w14:paraId="4DD5914B" w14:textId="77777777" w:rsidR="00473B1D" w:rsidRPr="00104E94" w:rsidRDefault="00473B1D" w:rsidP="00C26989">
      <w:pPr>
        <w:pStyle w:val="Heading1"/>
        <w:spacing w:before="0"/>
      </w:pPr>
      <w:bookmarkStart w:id="22" w:name="_Toc130818862"/>
      <w:r w:rsidRPr="00104E94">
        <w:lastRenderedPageBreak/>
        <w:t>Item 8</w:t>
      </w:r>
      <w:r w:rsidRPr="00104E94">
        <w:tab/>
        <w:t>Methods of Analysis, Investment Strategies and Risk of Loss</w:t>
      </w:r>
      <w:bookmarkEnd w:id="20"/>
      <w:bookmarkEnd w:id="21"/>
      <w:bookmarkEnd w:id="22"/>
    </w:p>
    <w:p w14:paraId="1533CBA8" w14:textId="77777777" w:rsidR="00473B1D" w:rsidRPr="00104E94" w:rsidRDefault="00473B1D">
      <w:pPr>
        <w:ind w:left="720" w:hanging="360"/>
      </w:pPr>
      <w:r w:rsidRPr="00104E94">
        <w:tab/>
      </w:r>
    </w:p>
    <w:p w14:paraId="7F18A499" w14:textId="77777777" w:rsidR="00473B1D" w:rsidRDefault="00473B1D">
      <w:pPr>
        <w:numPr>
          <w:ilvl w:val="0"/>
          <w:numId w:val="7"/>
        </w:numPr>
        <w:ind w:right="720"/>
        <w:jc w:val="both"/>
      </w:pPr>
      <w:r w:rsidRPr="00104E94">
        <w:t xml:space="preserve">The Registrant </w:t>
      </w:r>
      <w:r w:rsidR="00BE715D" w:rsidRPr="00104E94">
        <w:t>may</w:t>
      </w:r>
      <w:r w:rsidRPr="00104E94">
        <w:t xml:space="preserve"> utilize the following methods of security analysis:</w:t>
      </w:r>
    </w:p>
    <w:p w14:paraId="6F6F871A" w14:textId="77777777" w:rsidR="004F300E" w:rsidRPr="00104E94" w:rsidRDefault="004F300E" w:rsidP="004F300E">
      <w:pPr>
        <w:ind w:left="720" w:right="720"/>
        <w:jc w:val="both"/>
      </w:pPr>
    </w:p>
    <w:p w14:paraId="249EE4A9" w14:textId="77777777" w:rsidR="00473B1D" w:rsidRPr="00104E94" w:rsidRDefault="00473B1D">
      <w:pPr>
        <w:numPr>
          <w:ilvl w:val="1"/>
          <w:numId w:val="7"/>
        </w:numPr>
        <w:ind w:right="720"/>
        <w:jc w:val="both"/>
      </w:pPr>
      <w:r w:rsidRPr="00104E94">
        <w:rPr>
          <w:u w:val="single"/>
        </w:rPr>
        <w:t>Fundamental</w:t>
      </w:r>
      <w:r w:rsidRPr="00104E94">
        <w:t xml:space="preserve"> - (analysis performed on historical and present data, with the goal of making financial forecasts)</w:t>
      </w:r>
    </w:p>
    <w:p w14:paraId="7EB6F6BD" w14:textId="77777777" w:rsidR="00473B1D" w:rsidRPr="00104E94" w:rsidRDefault="00473B1D">
      <w:pPr>
        <w:numPr>
          <w:ilvl w:val="1"/>
          <w:numId w:val="7"/>
        </w:numPr>
        <w:ind w:right="720"/>
        <w:jc w:val="both"/>
      </w:pPr>
      <w:r w:rsidRPr="00104E94">
        <w:rPr>
          <w:u w:val="single"/>
        </w:rPr>
        <w:t>Technical</w:t>
      </w:r>
      <w:r w:rsidRPr="00104E94">
        <w:t xml:space="preserve"> – (analysis performed on historical and present data, focusing on price and trade volume, to forecast the direction of prices)</w:t>
      </w:r>
    </w:p>
    <w:p w14:paraId="4C24BE93" w14:textId="77777777" w:rsidR="00473B1D" w:rsidRPr="00104E94" w:rsidRDefault="00473B1D">
      <w:pPr>
        <w:numPr>
          <w:ilvl w:val="1"/>
          <w:numId w:val="7"/>
        </w:numPr>
        <w:ind w:right="720"/>
        <w:jc w:val="both"/>
      </w:pPr>
      <w:r w:rsidRPr="00104E94">
        <w:rPr>
          <w:u w:val="single"/>
        </w:rPr>
        <w:t>Cyclical</w:t>
      </w:r>
      <w:r w:rsidRPr="00104E94">
        <w:t xml:space="preserve"> – (analysis performed on historical relationships between price and market trends, to forecast the direction of prices)</w:t>
      </w:r>
    </w:p>
    <w:p w14:paraId="38AFE871" w14:textId="77777777" w:rsidR="00473B1D" w:rsidRPr="00104E94" w:rsidRDefault="00473B1D">
      <w:pPr>
        <w:ind w:left="1440" w:right="720"/>
        <w:jc w:val="both"/>
      </w:pPr>
    </w:p>
    <w:p w14:paraId="4F750520" w14:textId="77777777" w:rsidR="00473B1D" w:rsidRPr="00104E94" w:rsidRDefault="00473B1D">
      <w:pPr>
        <w:ind w:left="720" w:right="720"/>
        <w:jc w:val="both"/>
      </w:pPr>
      <w:r w:rsidRPr="00104E94">
        <w:t xml:space="preserve">The Registrant </w:t>
      </w:r>
      <w:r w:rsidR="00BE715D" w:rsidRPr="00104E94">
        <w:t>may</w:t>
      </w:r>
      <w:r w:rsidRPr="00104E94">
        <w:t xml:space="preserve"> utilize the following investment strategies when implementing investment advice given to clients:</w:t>
      </w:r>
    </w:p>
    <w:p w14:paraId="575280CE" w14:textId="77777777" w:rsidR="00473B1D" w:rsidRPr="00104E94" w:rsidRDefault="00473B1D">
      <w:pPr>
        <w:numPr>
          <w:ilvl w:val="1"/>
          <w:numId w:val="7"/>
        </w:numPr>
        <w:ind w:right="720"/>
        <w:jc w:val="both"/>
      </w:pPr>
      <w:r w:rsidRPr="00104E94">
        <w:rPr>
          <w:u w:val="single"/>
        </w:rPr>
        <w:t>Long Term Purchases</w:t>
      </w:r>
      <w:r w:rsidRPr="00104E94">
        <w:t xml:space="preserve"> (securities held at least a year)</w:t>
      </w:r>
    </w:p>
    <w:p w14:paraId="1324330F" w14:textId="77777777" w:rsidR="00473B1D" w:rsidRPr="00104E94" w:rsidRDefault="00473B1D">
      <w:pPr>
        <w:numPr>
          <w:ilvl w:val="1"/>
          <w:numId w:val="7"/>
        </w:numPr>
        <w:ind w:right="720"/>
        <w:jc w:val="both"/>
      </w:pPr>
      <w:r w:rsidRPr="00104E94">
        <w:rPr>
          <w:u w:val="single"/>
        </w:rPr>
        <w:t>Short Term Purchases</w:t>
      </w:r>
      <w:r w:rsidRPr="00104E94">
        <w:t xml:space="preserve"> (securities sold within a year)</w:t>
      </w:r>
    </w:p>
    <w:p w14:paraId="6EC78037" w14:textId="77777777" w:rsidR="002F1B8C" w:rsidRPr="00104E94" w:rsidRDefault="00473B1D" w:rsidP="002F1B8C">
      <w:pPr>
        <w:numPr>
          <w:ilvl w:val="1"/>
          <w:numId w:val="7"/>
        </w:numPr>
        <w:ind w:right="720"/>
        <w:jc w:val="both"/>
      </w:pPr>
      <w:r w:rsidRPr="00104E94">
        <w:rPr>
          <w:u w:val="single"/>
        </w:rPr>
        <w:t>Trading</w:t>
      </w:r>
      <w:r w:rsidRPr="00104E94">
        <w:t xml:space="preserve"> (securities sold within thirty (30) days)</w:t>
      </w:r>
    </w:p>
    <w:p w14:paraId="768EBFE7" w14:textId="2200C7BE" w:rsidR="001F1D99" w:rsidRPr="004F300E" w:rsidRDefault="008314C8" w:rsidP="001F1D99">
      <w:pPr>
        <w:numPr>
          <w:ilvl w:val="1"/>
          <w:numId w:val="7"/>
        </w:numPr>
        <w:ind w:right="720"/>
        <w:jc w:val="both"/>
      </w:pPr>
      <w:r w:rsidRPr="004F300E">
        <w:rPr>
          <w:rFonts w:eastAsia="Calibri"/>
          <w:u w:val="single"/>
        </w:rPr>
        <w:t>Options</w:t>
      </w:r>
      <w:r w:rsidRPr="004F300E">
        <w:rPr>
          <w:rFonts w:eastAsia="Calibri"/>
        </w:rPr>
        <w:t xml:space="preserve"> (contract for the purchase or sale of a security at a predetermined price during a specific </w:t>
      </w:r>
      <w:r w:rsidR="00381CD4" w:rsidRPr="004F300E">
        <w:rPr>
          <w:rFonts w:eastAsia="Calibri"/>
        </w:rPr>
        <w:t>period</w:t>
      </w:r>
      <w:r w:rsidRPr="004F300E">
        <w:rPr>
          <w:rFonts w:eastAsia="Calibri"/>
        </w:rPr>
        <w:t>)</w:t>
      </w:r>
    </w:p>
    <w:p w14:paraId="5D64FFEC" w14:textId="77777777" w:rsidR="001F1D99" w:rsidRPr="004F300E" w:rsidRDefault="001F1D99" w:rsidP="001F1D99">
      <w:pPr>
        <w:numPr>
          <w:ilvl w:val="1"/>
          <w:numId w:val="7"/>
        </w:numPr>
        <w:ind w:right="720"/>
        <w:jc w:val="both"/>
      </w:pPr>
      <w:r w:rsidRPr="004F300E">
        <w:rPr>
          <w:u w:val="single"/>
        </w:rPr>
        <w:t xml:space="preserve">Margin </w:t>
      </w:r>
      <w:r w:rsidR="00CA22FC">
        <w:rPr>
          <w:u w:val="single"/>
        </w:rPr>
        <w:t>Strategies</w:t>
      </w:r>
      <w:r w:rsidRPr="004F300E">
        <w:t xml:space="preserve"> (use of borrowed assets to purchase financial instruments)</w:t>
      </w:r>
    </w:p>
    <w:p w14:paraId="06BAD615" w14:textId="77777777" w:rsidR="00473B1D" w:rsidRPr="008F5FD4" w:rsidRDefault="00473B1D">
      <w:pPr>
        <w:ind w:left="1440"/>
      </w:pPr>
    </w:p>
    <w:p w14:paraId="48B392D5" w14:textId="077161EB" w:rsidR="00473B1D" w:rsidRPr="00104E94" w:rsidRDefault="00473B1D" w:rsidP="0060567E">
      <w:pPr>
        <w:pStyle w:val="Header"/>
        <w:tabs>
          <w:tab w:val="clear" w:pos="9360"/>
        </w:tabs>
        <w:ind w:left="720" w:right="720"/>
        <w:jc w:val="both"/>
      </w:pPr>
      <w:r w:rsidRPr="008F5FD4">
        <w:rPr>
          <w:bCs/>
          <w:u w:val="single"/>
        </w:rPr>
        <w:t>Investment Risk</w:t>
      </w:r>
      <w:r w:rsidR="00C21BC6">
        <w:rPr>
          <w:bCs/>
          <w:u w:val="single"/>
        </w:rPr>
        <w:t xml:space="preserve"> in General</w:t>
      </w:r>
      <w:r w:rsidR="00AC7F33" w:rsidRPr="008F5FD4">
        <w:t xml:space="preserve">. </w:t>
      </w:r>
      <w:r w:rsidR="001F1D99" w:rsidRPr="008F5FD4">
        <w:t>Investing</w:t>
      </w:r>
      <w:r w:rsidR="001F1D99" w:rsidRPr="00104E94">
        <w:t xml:space="preserve"> in securities involves risk of loss that clients should be prepared to bear, including the loss of principal investment. Past performance may not be indicative of future results</w:t>
      </w:r>
      <w:r w:rsidR="00431506" w:rsidRPr="00104E94">
        <w:t>.</w:t>
      </w:r>
      <w:r w:rsidR="001F1D99" w:rsidRPr="00104E94">
        <w:t xml:space="preserve"> Different types of investments involve varying degrees of risk, and it should not be assumed that future performance of any specific investment or investment strategy (including the investments and/or investment strategies recommended or undertaken by Registrant) will be profitable or equal any specific performance </w:t>
      </w:r>
      <w:r w:rsidR="00BB2DF1">
        <w:t>level</w:t>
      </w:r>
      <w:r w:rsidR="001F1D99" w:rsidRPr="00104E94">
        <w:t>. Investment strategies such as asset allocation, diversification, or rebalancing do not assure or guarantee better performance and cannot eliminate the risk of investment losses. There is no guarantee that a portfolio employing these or any other strategy will outperform a portfolio that does not engage in such strategies. While asset values may increase and client account values could benefit as a result, it is also possible that asset values may decrease</w:t>
      </w:r>
      <w:r w:rsidR="00EC7579">
        <w:t>,</w:t>
      </w:r>
      <w:r w:rsidR="001F1D99" w:rsidRPr="00104E94">
        <w:t xml:space="preserve"> and client account values could suffer a loss.</w:t>
      </w:r>
    </w:p>
    <w:p w14:paraId="2C14DFDB" w14:textId="77777777" w:rsidR="008B336A" w:rsidRPr="00104E94" w:rsidRDefault="008B336A" w:rsidP="0060567E">
      <w:pPr>
        <w:pStyle w:val="Header"/>
        <w:tabs>
          <w:tab w:val="clear" w:pos="9360"/>
        </w:tabs>
        <w:ind w:left="720" w:right="720"/>
        <w:jc w:val="both"/>
      </w:pPr>
    </w:p>
    <w:p w14:paraId="37DC8C4E" w14:textId="3E891D5A" w:rsidR="00473B1D" w:rsidRPr="00104E94" w:rsidRDefault="00473B1D" w:rsidP="008B336A">
      <w:pPr>
        <w:numPr>
          <w:ilvl w:val="0"/>
          <w:numId w:val="7"/>
        </w:numPr>
        <w:ind w:right="720"/>
        <w:jc w:val="both"/>
      </w:pPr>
      <w:r w:rsidRPr="00104E94">
        <w:t>The Registrant</w:t>
      </w:r>
      <w:r w:rsidR="00690BEA" w:rsidRPr="00104E94">
        <w:t>’</w:t>
      </w:r>
      <w:r w:rsidRPr="00104E94">
        <w:t>s methods of analysis and investment strategies do not present any significant or unusual risks. However, every method of analysis has its own inherent risks. To perform an accurate market analysis the Registrant must have access to current/new market information. The Registrant has no control over the dissemination rate of market information; therefore, unbeknownst to the Registrant, certain analyses may be compiled with outdated market information, severely limiting the value of the Registrant</w:t>
      </w:r>
      <w:r w:rsidR="00690BEA" w:rsidRPr="00104E94">
        <w:t>’</w:t>
      </w:r>
      <w:r w:rsidRPr="00104E94">
        <w:t>s analysis. Furthermore, an accurate market analysis can only produce a forecast of the direction of market values. There can be no assurances that a forecasted change in market value will materialize into actionable and/or profitable investment opportunities</w:t>
      </w:r>
      <w:r w:rsidR="00AC7F33" w:rsidRPr="00104E94">
        <w:t xml:space="preserve">. </w:t>
      </w:r>
    </w:p>
    <w:p w14:paraId="22FF6B92" w14:textId="77777777" w:rsidR="006D734D" w:rsidRPr="00104E94" w:rsidRDefault="006D734D"/>
    <w:p w14:paraId="3BCE94B5" w14:textId="37F4F69C" w:rsidR="00473B1D" w:rsidRPr="00104E94" w:rsidRDefault="00473B1D">
      <w:pPr>
        <w:ind w:left="720" w:right="720"/>
        <w:jc w:val="both"/>
      </w:pPr>
      <w:r w:rsidRPr="00104E94">
        <w:t>The Registrant</w:t>
      </w:r>
      <w:r w:rsidR="00690BEA" w:rsidRPr="00104E94">
        <w:t>’</w:t>
      </w:r>
      <w:r w:rsidRPr="00104E94">
        <w:t>s primary investment strategies - Long Term Purchases, Short Term Purchases, and Trading - are fundamental investment strategies. However, every investment strategy has its own inherent risks and limitations. For example</w:t>
      </w:r>
      <w:r w:rsidR="00781194" w:rsidRPr="00104E94">
        <w:t>,</w:t>
      </w:r>
      <w:r w:rsidRPr="00104E94">
        <w:t xml:space="preserve"> longer term investment strategies require a longer investment </w:t>
      </w:r>
      <w:r w:rsidR="002F060E" w:rsidRPr="00104E94">
        <w:t>period</w:t>
      </w:r>
      <w:r w:rsidRPr="00104E94">
        <w:t xml:space="preserve"> to allow for the strategy to potentially develop. </w:t>
      </w:r>
      <w:r w:rsidR="002F060E" w:rsidRPr="00104E94">
        <w:t>Shorter-term</w:t>
      </w:r>
      <w:r w:rsidRPr="00104E94">
        <w:t xml:space="preserve"> investment strategies require a shorter investment period to potentially develop but, as a result of more frequent trading, may incur higher transactional costs when compared to a </w:t>
      </w:r>
      <w:r w:rsidR="002F060E" w:rsidRPr="00104E94">
        <w:t>longer-term</w:t>
      </w:r>
      <w:r w:rsidRPr="00104E94">
        <w:t xml:space="preserve"> investment strategy. Trading, an </w:t>
      </w:r>
      <w:r w:rsidRPr="00104E94">
        <w:lastRenderedPageBreak/>
        <w:t xml:space="preserve">investment strategy that requires the purchase and sale of securities within a thirty (30) day investment </w:t>
      </w:r>
      <w:r w:rsidR="006F5725" w:rsidRPr="00104E94">
        <w:t>period</w:t>
      </w:r>
      <w:r w:rsidRPr="00104E94">
        <w:t xml:space="preserve">, involves a very short investment period but will incur higher transaction costs when compared to a </w:t>
      </w:r>
      <w:r w:rsidR="002F060E" w:rsidRPr="00104E94">
        <w:t>short-term</w:t>
      </w:r>
      <w:r w:rsidRPr="00104E94">
        <w:t xml:space="preserve"> investment strategy and substantially higher transaction costs than a </w:t>
      </w:r>
      <w:r w:rsidR="00932FAC" w:rsidRPr="00104E94">
        <w:t>longer-term</w:t>
      </w:r>
      <w:r w:rsidRPr="00104E94">
        <w:t xml:space="preserve"> investment strategy.</w:t>
      </w:r>
    </w:p>
    <w:p w14:paraId="7F2BC754" w14:textId="77777777" w:rsidR="00BE715D" w:rsidRPr="00104E94" w:rsidRDefault="00BE715D">
      <w:pPr>
        <w:ind w:left="720" w:right="720"/>
        <w:jc w:val="both"/>
      </w:pPr>
    </w:p>
    <w:p w14:paraId="4D8AF114" w14:textId="77777777" w:rsidR="002F1B8C" w:rsidRPr="00104E94" w:rsidRDefault="002F1B8C" w:rsidP="002F1B8C">
      <w:pPr>
        <w:ind w:left="720" w:right="720"/>
        <w:jc w:val="both"/>
        <w:rPr>
          <w:rFonts w:eastAsia="Calibri"/>
        </w:rPr>
      </w:pPr>
      <w:r w:rsidRPr="00104E94">
        <w:rPr>
          <w:rFonts w:eastAsia="Calibri"/>
        </w:rPr>
        <w:t xml:space="preserve">In addition to the fundamental investment strategies discussed above, the Registrant may also implement and/or recommend – </w:t>
      </w:r>
      <w:r w:rsidR="001F1D99" w:rsidRPr="00104E94">
        <w:rPr>
          <w:rFonts w:eastAsia="Calibri"/>
        </w:rPr>
        <w:t>margin</w:t>
      </w:r>
      <w:r w:rsidRPr="00104E94">
        <w:rPr>
          <w:rFonts w:eastAsia="Calibri"/>
        </w:rPr>
        <w:t xml:space="preserve"> and/or options transactions</w:t>
      </w:r>
      <w:r w:rsidR="00690BEA" w:rsidRPr="00104E94">
        <w:rPr>
          <w:rFonts w:eastAsia="Calibri"/>
        </w:rPr>
        <w:t xml:space="preserve"> (including covered call writing)</w:t>
      </w:r>
      <w:r w:rsidRPr="00104E94">
        <w:rPr>
          <w:rFonts w:eastAsia="Calibri"/>
        </w:rPr>
        <w:t>. Each of these strategies has a high level of inherent risk. (</w:t>
      </w:r>
      <w:r w:rsidRPr="00104E94">
        <w:rPr>
          <w:rFonts w:eastAsia="Calibri"/>
          <w:iCs/>
        </w:rPr>
        <w:t xml:space="preserve">See </w:t>
      </w:r>
      <w:r w:rsidRPr="00104E94">
        <w:rPr>
          <w:rFonts w:eastAsia="Calibri"/>
        </w:rPr>
        <w:t xml:space="preserve">discussion below). </w:t>
      </w:r>
    </w:p>
    <w:p w14:paraId="664F6700" w14:textId="77777777" w:rsidR="008314C8" w:rsidRPr="00104E94" w:rsidRDefault="008314C8" w:rsidP="00825406">
      <w:pPr>
        <w:ind w:right="720"/>
        <w:jc w:val="both"/>
        <w:rPr>
          <w:rFonts w:eastAsia="Calibri"/>
        </w:rPr>
      </w:pPr>
    </w:p>
    <w:p w14:paraId="7154148F" w14:textId="42778EDF" w:rsidR="00690BEA" w:rsidRPr="00330DE2" w:rsidRDefault="00C21BC6" w:rsidP="00677549">
      <w:pPr>
        <w:ind w:left="720" w:right="720"/>
        <w:jc w:val="both"/>
      </w:pPr>
      <w:r w:rsidRPr="00834403">
        <w:rPr>
          <w:u w:val="single"/>
        </w:rPr>
        <w:t>Options Strategies</w:t>
      </w:r>
      <w:r w:rsidRPr="00834403">
        <w:t xml:space="preserve">. The use of options transactions as an investment strategy involves a high level of inherent risk. Option transactions establish a contract between two parties concerning the buying or selling of an asset at a predetermined price during a specific </w:t>
      </w:r>
      <w:r w:rsidR="00381CD4" w:rsidRPr="00834403">
        <w:t>period</w:t>
      </w:r>
      <w:r w:rsidRPr="00834403">
        <w:t>. During the term of the option contract, the buyer of the option gains the right to demand fulfillment by the seller. Fulfillment may take the form of either selling or purchasing a security depending upon the nature of the option contract. Generally, the purchase or the recommendation to purchase an option contract by the Registrant shall be with the intent of offsetting/</w:t>
      </w:r>
      <w:r w:rsidR="00D4379A">
        <w:t>“</w:t>
      </w:r>
      <w:r w:rsidRPr="00834403">
        <w:t xml:space="preserve">hedging” a potential market risk in a client’s portfolio. </w:t>
      </w:r>
      <w:r w:rsidRPr="00834403">
        <w:rPr>
          <w:bCs/>
          <w:u w:val="single"/>
        </w:rPr>
        <w:t>Please Note</w:t>
      </w:r>
      <w:r w:rsidRPr="00834403">
        <w:t xml:space="preserve">: Although the intent of the options-related transactions that may be implemented by the Registrant is to hedge against principal risk, certain of the options-related strategies (i.e. straddles, short positions, etc.), may, in and of themselves, produce principal volatility and/or risk. Thus, a client must be willing to accept these enhanced volatility and principal risks associated with such strategies. </w:t>
      </w:r>
      <w:r w:rsidR="002F060E" w:rsidRPr="00834403">
        <w:t>Considering</w:t>
      </w:r>
      <w:r w:rsidRPr="00834403">
        <w:t xml:space="preserve"> these enhanced risks, client may direct the Registrant, in writing, not to employ any or all such strategies for their accounts</w:t>
      </w:r>
      <w:r w:rsidR="00AC7F33" w:rsidRPr="00834403">
        <w:t>.</w:t>
      </w:r>
    </w:p>
    <w:p w14:paraId="25930E27" w14:textId="77777777" w:rsidR="00330DE2" w:rsidRDefault="00330DE2" w:rsidP="001F1D99">
      <w:pPr>
        <w:ind w:left="720" w:right="720"/>
        <w:jc w:val="both"/>
        <w:rPr>
          <w:u w:val="single"/>
        </w:rPr>
      </w:pPr>
    </w:p>
    <w:p w14:paraId="41A5A02B" w14:textId="7E0F21DD" w:rsidR="001F1D99" w:rsidRPr="00834403" w:rsidRDefault="0071722D" w:rsidP="001F1D99">
      <w:pPr>
        <w:ind w:left="720" w:right="720"/>
        <w:jc w:val="both"/>
      </w:pPr>
      <w:r w:rsidRPr="00834403">
        <w:rPr>
          <w:u w:val="single"/>
        </w:rPr>
        <w:t>Covered Call Writing</w:t>
      </w:r>
      <w:r w:rsidR="00690BEA" w:rsidRPr="00834403">
        <w:t xml:space="preserve">. Covered call writing, which is a specific type of an options strategy, </w:t>
      </w:r>
      <w:r w:rsidRPr="00834403">
        <w:t xml:space="preserve">is the sale of in-, at-, or out-of- the money call option against a long security position held in a client portfolio. This type of transaction is used to generate income. It also serves to create downside protection in the event the security position declines in value. Income is received from the proceeds of the option sale. Such income may be reduced to the extent it is necessary to buy back the option position prior to its expiration. </w:t>
      </w:r>
      <w:r w:rsidR="001F1D99" w:rsidRPr="00834403">
        <w:t xml:space="preserve">There can be no assurance that the security will not be called away by the option buyer, which will result in the client (option writer) to lose ownership in the security and incur potential unintended tax consequences. </w:t>
      </w:r>
      <w:r w:rsidRPr="00834403">
        <w:t>This strategy may involve a degree of trading velocity, transaction costs and significant losses if the underlying security has volatile price movement. Covered call strategies are generally suited for companies with little price volatility</w:t>
      </w:r>
      <w:r w:rsidR="00374A31" w:rsidRPr="00834403">
        <w:t>.</w:t>
      </w:r>
    </w:p>
    <w:p w14:paraId="09FE72F5" w14:textId="77777777" w:rsidR="000F695F" w:rsidRPr="00834403" w:rsidRDefault="000F695F" w:rsidP="00BB2DF1">
      <w:pPr>
        <w:ind w:right="720"/>
        <w:jc w:val="both"/>
        <w:rPr>
          <w:highlight w:val="green"/>
          <w:u w:val="single"/>
        </w:rPr>
      </w:pPr>
    </w:p>
    <w:p w14:paraId="018CD29C" w14:textId="5AA63E70" w:rsidR="00BB2DF1" w:rsidRPr="00834403" w:rsidRDefault="001F1D99" w:rsidP="00BB2DF1">
      <w:pPr>
        <w:ind w:left="720" w:right="720"/>
        <w:jc w:val="both"/>
        <w:rPr>
          <w:rFonts w:eastAsia="Calibri"/>
          <w:bCs/>
        </w:rPr>
      </w:pPr>
      <w:r w:rsidRPr="00834403">
        <w:rPr>
          <w:u w:val="single"/>
        </w:rPr>
        <w:t>Margin Transactions</w:t>
      </w:r>
      <w:r w:rsidRPr="00834403">
        <w:t xml:space="preserve">. </w:t>
      </w:r>
      <w:r w:rsidR="00BB2DF1" w:rsidRPr="00834403">
        <w:t xml:space="preserve">In limited circumstances upon specific client request, Registrant will employ a margin transaction strategy, which involves </w:t>
      </w:r>
      <w:r w:rsidR="00BB2DF1" w:rsidRPr="00834403">
        <w:rPr>
          <w:rFonts w:eastAsia="Calibri"/>
        </w:rPr>
        <w:t xml:space="preserve">a high level of inherent risk. A margin transaction </w:t>
      </w:r>
      <w:r w:rsidR="00CF5B2F" w:rsidRPr="00834403">
        <w:rPr>
          <w:rFonts w:eastAsia="Calibri"/>
        </w:rPr>
        <w:t xml:space="preserve">strategy </w:t>
      </w:r>
      <w:r w:rsidR="00BB2DF1" w:rsidRPr="00834403">
        <w:rPr>
          <w:rFonts w:eastAsia="Calibri"/>
        </w:rPr>
        <w:t xml:space="preserve">occurs when an investor uses borrowed assets to purchase financial instruments. The investor generally obtains the borrowed assets by using other securities as collateral for the borrowed sum. The effect of purchasing a security using margin is to magnify any gains or losses sustained by the purchase of the financial instruments on margin. </w:t>
      </w:r>
      <w:r w:rsidR="00BB2DF1" w:rsidRPr="00834403">
        <w:rPr>
          <w:rFonts w:eastAsia="Calibri"/>
          <w:bCs/>
        </w:rPr>
        <w:t xml:space="preserve">Accordingly, the decision as to whether to employ margin is left totally to the discretion of </w:t>
      </w:r>
      <w:r w:rsidR="00AA114E">
        <w:rPr>
          <w:rFonts w:eastAsia="Calibri"/>
          <w:bCs/>
        </w:rPr>
        <w:t xml:space="preserve">the </w:t>
      </w:r>
      <w:r w:rsidR="00BB2DF1" w:rsidRPr="00834403">
        <w:rPr>
          <w:rFonts w:eastAsia="Calibri"/>
          <w:bCs/>
        </w:rPr>
        <w:t>client</w:t>
      </w:r>
      <w:r w:rsidR="00AC7F33" w:rsidRPr="00834403">
        <w:rPr>
          <w:rFonts w:eastAsia="Calibri"/>
          <w:bCs/>
        </w:rPr>
        <w:t xml:space="preserve">. </w:t>
      </w:r>
    </w:p>
    <w:p w14:paraId="12786797" w14:textId="77777777" w:rsidR="00BB2DF1" w:rsidRPr="00834403" w:rsidRDefault="00BB2DF1" w:rsidP="00BB2DF1">
      <w:pPr>
        <w:ind w:left="720" w:right="720"/>
        <w:jc w:val="both"/>
        <w:rPr>
          <w:color w:val="000000"/>
        </w:rPr>
      </w:pPr>
    </w:p>
    <w:p w14:paraId="302AD92F" w14:textId="7FB0E2F0" w:rsidR="00BB2DF1" w:rsidRPr="00834403" w:rsidRDefault="00BB2DF1" w:rsidP="00BB2DF1">
      <w:pPr>
        <w:ind w:left="720" w:right="720"/>
        <w:jc w:val="both"/>
        <w:rPr>
          <w:color w:val="000000"/>
        </w:rPr>
      </w:pPr>
      <w:r w:rsidRPr="00834403">
        <w:rPr>
          <w:color w:val="000000"/>
        </w:rPr>
        <w:t xml:space="preserve">Upon client request, Registrant may also recommend that a client establish a margin account with the client’s broker-dealer/custodian or their affiliated banks to collateralize investment assets </w:t>
      </w:r>
      <w:r w:rsidR="005E0031" w:rsidRPr="00834403">
        <w:rPr>
          <w:color w:val="000000"/>
        </w:rPr>
        <w:t xml:space="preserve">to </w:t>
      </w:r>
      <w:r w:rsidRPr="00834403">
        <w:rPr>
          <w:color w:val="000000"/>
        </w:rPr>
        <w:t xml:space="preserve">access cash flow. Unlike a traditional real estate-backed loan, a margin loan has the potential benefit of enabling borrowers to access to funds in a shorter </w:t>
      </w:r>
      <w:r w:rsidR="006F5725" w:rsidRPr="00834403">
        <w:rPr>
          <w:color w:val="000000"/>
        </w:rPr>
        <w:t>period</w:t>
      </w:r>
      <w:r w:rsidRPr="00834403">
        <w:rPr>
          <w:color w:val="000000"/>
        </w:rPr>
        <w:t xml:space="preserve">, providing greater repayment flexibility, and may also result in the borrower receiving </w:t>
      </w:r>
      <w:r w:rsidRPr="00834403">
        <w:rPr>
          <w:color w:val="000000"/>
        </w:rPr>
        <w:lastRenderedPageBreak/>
        <w:t>certain tax benefits. Clients interested in learning more about the potential tax benefits of borrowing money on margin should consult with an accountant or tax advisor.</w:t>
      </w:r>
    </w:p>
    <w:p w14:paraId="76DAB06F" w14:textId="77777777" w:rsidR="00BB2DF1" w:rsidRPr="00834403" w:rsidRDefault="00BB2DF1" w:rsidP="00BB2DF1">
      <w:pPr>
        <w:ind w:left="720" w:right="720"/>
        <w:jc w:val="both"/>
        <w:rPr>
          <w:color w:val="000000"/>
        </w:rPr>
      </w:pPr>
    </w:p>
    <w:p w14:paraId="3EAF780A" w14:textId="6FA0CBC9" w:rsidR="00B01438" w:rsidRPr="00834403" w:rsidRDefault="00BB2DF1" w:rsidP="00B01438">
      <w:pPr>
        <w:ind w:left="720" w:right="720"/>
        <w:jc w:val="both"/>
      </w:pPr>
      <w:r w:rsidRPr="00834403">
        <w:rPr>
          <w:color w:val="000000"/>
        </w:rPr>
        <w:t xml:space="preserve">If a client determines to use margin to purchase assets that Registrant will manage, </w:t>
      </w:r>
      <w:r w:rsidR="00542004">
        <w:t>Registrant</w:t>
      </w:r>
      <w:r w:rsidR="00542004" w:rsidRPr="00F66E56">
        <w:t xml:space="preserve"> will </w:t>
      </w:r>
      <w:r w:rsidR="00542004">
        <w:t>deduct the value of the outstanding margin balance when computing its advisory fee.</w:t>
      </w:r>
      <w:r w:rsidR="00542004" w:rsidRPr="00F66E56">
        <w:t> </w:t>
      </w:r>
    </w:p>
    <w:p w14:paraId="6C9CF477" w14:textId="77777777" w:rsidR="00B01438" w:rsidRPr="00834403" w:rsidRDefault="00B01438" w:rsidP="00BB2DF1">
      <w:pPr>
        <w:ind w:left="720" w:right="720"/>
        <w:jc w:val="both"/>
      </w:pPr>
    </w:p>
    <w:p w14:paraId="5C5B7B74" w14:textId="77777777" w:rsidR="00636499" w:rsidRPr="00834403" w:rsidRDefault="00BB2DF1" w:rsidP="00B01438">
      <w:pPr>
        <w:ind w:left="720" w:right="720"/>
        <w:jc w:val="both"/>
      </w:pPr>
      <w:r w:rsidRPr="00834403">
        <w:t>The terms and conditions of each margin loan are contained in a separate agreement between the client and the margin lender selected by the client, which terms and conditions may vary from client to client. Borrowing funds on margin is not suitable for all clients and is subject to certain risks, including but not limited to the following: increased market risk, increased risk of loss, especially in the event of a significant downturn; liquidity risk for the leveraged security; the potential obligation to post collateral or re</w:t>
      </w:r>
      <w:r w:rsidR="00B01438" w:rsidRPr="00834403">
        <w:t>pay the margin if the margin l</w:t>
      </w:r>
      <w:r w:rsidRPr="00834403">
        <w:t xml:space="preserve">ender determines that the value of collateralized securities is no longer sufficient to support the value of the margin; and the risk that the margin lender may liquidate the client’s securities to satisfy its demand for additional collateral or repayment / the risk that the margin lender may terminate the margin at any time. Before agreeing to participate in a margin loan program, clients should carefully review the applicable margin agreement and all risk disclosures provided by the margin lender including the initial margin and maintenance requirements for the specific program in which the client enrolls, and the procedures for issuing “margin calls” and liquidating securities and other assets in the client’s accounts. </w:t>
      </w:r>
    </w:p>
    <w:p w14:paraId="3C9C05A8" w14:textId="77777777" w:rsidR="00B01438" w:rsidRPr="00834403" w:rsidRDefault="00B01438"/>
    <w:p w14:paraId="4891C2D1" w14:textId="77777777" w:rsidR="00F17F0B" w:rsidRPr="00834403" w:rsidRDefault="008314C8" w:rsidP="00BB2DF1">
      <w:pPr>
        <w:numPr>
          <w:ilvl w:val="0"/>
          <w:numId w:val="7"/>
        </w:numPr>
        <w:ind w:right="720"/>
        <w:jc w:val="both"/>
      </w:pPr>
      <w:r w:rsidRPr="00834403">
        <w:t xml:space="preserve">Currently, the Registrant </w:t>
      </w:r>
      <w:r w:rsidR="00374A31" w:rsidRPr="00834403">
        <w:t xml:space="preserve">primarily </w:t>
      </w:r>
      <w:r w:rsidRPr="00834403">
        <w:t>allocates client investment assets among various individual equity</w:t>
      </w:r>
      <w:r w:rsidR="00EE3D56" w:rsidRPr="00834403">
        <w:t xml:space="preserve"> and</w:t>
      </w:r>
      <w:r w:rsidRPr="00834403">
        <w:t xml:space="preserve"> fixed income securities, mutual funds </w:t>
      </w:r>
      <w:r w:rsidR="00473B1D" w:rsidRPr="00834403">
        <w:t xml:space="preserve">and/or </w:t>
      </w:r>
      <w:r w:rsidR="00EF187F" w:rsidRPr="00834403">
        <w:t>ETFs</w:t>
      </w:r>
      <w:r w:rsidR="00473B1D" w:rsidRPr="00834403">
        <w:t xml:space="preserve"> (including inverse ETFs and/or mutual funds that are designed to perform in an inverse relationship to certain market indices), on a discretionary basis in accordance with the client</w:t>
      </w:r>
      <w:r w:rsidR="00690BEA" w:rsidRPr="00834403">
        <w:t>’</w:t>
      </w:r>
      <w:r w:rsidR="00473B1D" w:rsidRPr="00834403">
        <w:t>s des</w:t>
      </w:r>
      <w:r w:rsidR="00BB2DF1" w:rsidRPr="00834403">
        <w:t xml:space="preserve">ignated investment </w:t>
      </w:r>
      <w:r w:rsidR="000547EA" w:rsidRPr="00834403">
        <w:t>objectives</w:t>
      </w:r>
      <w:r w:rsidR="00BB2DF1" w:rsidRPr="00834403">
        <w:t xml:space="preserve">. </w:t>
      </w:r>
      <w:r w:rsidR="00F17F0B" w:rsidRPr="00834403">
        <w:rPr>
          <w:bCs/>
        </w:rPr>
        <w:t>Each type of investment has its own unique set of risks associated with it. The following provides a short description of some of the underlying risks associated with the types of investments that Registrant uses or recommends:</w:t>
      </w:r>
    </w:p>
    <w:p w14:paraId="1AEB9C07" w14:textId="77777777" w:rsidR="00F17F0B" w:rsidRPr="00834403" w:rsidRDefault="00F17F0B" w:rsidP="00F17F0B">
      <w:pPr>
        <w:pStyle w:val="ListParagraph"/>
        <w:tabs>
          <w:tab w:val="left" w:pos="2344"/>
        </w:tabs>
        <w:ind w:right="720"/>
        <w:jc w:val="both"/>
        <w:rPr>
          <w:bCs/>
        </w:rPr>
      </w:pPr>
    </w:p>
    <w:p w14:paraId="5BCD72B0" w14:textId="279BFFE6" w:rsidR="00F17F0B" w:rsidRPr="00834403" w:rsidRDefault="00F17F0B" w:rsidP="00F17F0B">
      <w:pPr>
        <w:pStyle w:val="ListParagraph"/>
        <w:tabs>
          <w:tab w:val="left" w:pos="2344"/>
        </w:tabs>
        <w:ind w:right="720"/>
        <w:jc w:val="both"/>
        <w:rPr>
          <w:bCs/>
        </w:rPr>
      </w:pPr>
      <w:r w:rsidRPr="00834403">
        <w:rPr>
          <w:bCs/>
          <w:u w:val="single"/>
        </w:rPr>
        <w:t>Market Risk</w:t>
      </w:r>
      <w:r w:rsidRPr="00834403">
        <w:rPr>
          <w:bCs/>
        </w:rPr>
        <w:t>. The price of a security may drop in reaction to tangible and intangible events and conditions. This type of risk may be caused by external factors (such as economic or political factors</w:t>
      </w:r>
      <w:r w:rsidR="00C26989" w:rsidRPr="00834403">
        <w:rPr>
          <w:bCs/>
        </w:rPr>
        <w:t>) but</w:t>
      </w:r>
      <w:r w:rsidRPr="00834403">
        <w:rPr>
          <w:bCs/>
        </w:rPr>
        <w:t xml:space="preserve"> may also be incurred because of a security’s specific underlying investments. Additionally, each security’s price can fluctuate based on market movement, which may or may not be due to the security’s operations or changes in its true value. For example, political, economic</w:t>
      </w:r>
      <w:r w:rsidR="006F5725">
        <w:rPr>
          <w:bCs/>
        </w:rPr>
        <w:t>,</w:t>
      </w:r>
      <w:r w:rsidRPr="00834403">
        <w:rPr>
          <w:bCs/>
        </w:rPr>
        <w:t xml:space="preserve"> and social conditions may trigger market events which are temporarily negative, or temporarily positive</w:t>
      </w:r>
      <w:r w:rsidR="00AC7F33" w:rsidRPr="00834403">
        <w:rPr>
          <w:bCs/>
        </w:rPr>
        <w:t xml:space="preserve">. </w:t>
      </w:r>
    </w:p>
    <w:p w14:paraId="73B5A1FA" w14:textId="77777777" w:rsidR="00F17F0B" w:rsidRPr="00834403" w:rsidRDefault="00F17F0B" w:rsidP="00F17F0B">
      <w:pPr>
        <w:pStyle w:val="ListParagraph"/>
        <w:tabs>
          <w:tab w:val="left" w:pos="2344"/>
        </w:tabs>
        <w:ind w:right="720"/>
        <w:jc w:val="both"/>
        <w:rPr>
          <w:bCs/>
          <w:u w:val="single"/>
        </w:rPr>
      </w:pPr>
    </w:p>
    <w:p w14:paraId="1A13DE12" w14:textId="77777777" w:rsidR="00F17F0B" w:rsidRPr="00834403" w:rsidRDefault="00F17F0B" w:rsidP="00F17F0B">
      <w:pPr>
        <w:pStyle w:val="ListParagraph"/>
        <w:tabs>
          <w:tab w:val="left" w:pos="2344"/>
        </w:tabs>
        <w:ind w:right="720"/>
        <w:jc w:val="both"/>
        <w:rPr>
          <w:bCs/>
        </w:rPr>
      </w:pPr>
      <w:r w:rsidRPr="00834403">
        <w:rPr>
          <w:bCs/>
          <w:u w:val="single"/>
        </w:rPr>
        <w:t>Unsystematic Risk</w:t>
      </w:r>
      <w:r w:rsidRPr="00834403">
        <w:rPr>
          <w:bCs/>
        </w:rPr>
        <w:t>. Unsystematic risk is the company-specific or industry-specific risk in a portfolio that the investor bears. Unsystematic risk is typically addressed through diversification. However, as indicated above, diversification does not guarantee better performance and cannot eliminate the risk of investment losses.</w:t>
      </w:r>
    </w:p>
    <w:p w14:paraId="073B21E6" w14:textId="77777777" w:rsidR="00F17F0B" w:rsidRPr="00834403" w:rsidRDefault="00F17F0B" w:rsidP="00F17F0B">
      <w:pPr>
        <w:pStyle w:val="ListParagraph"/>
        <w:tabs>
          <w:tab w:val="left" w:pos="2344"/>
        </w:tabs>
        <w:ind w:right="720"/>
        <w:jc w:val="both"/>
        <w:rPr>
          <w:bCs/>
          <w:u w:val="single"/>
        </w:rPr>
      </w:pPr>
    </w:p>
    <w:p w14:paraId="0290215E" w14:textId="77777777" w:rsidR="00F17F0B" w:rsidRPr="00834403" w:rsidRDefault="00F17F0B" w:rsidP="00F17F0B">
      <w:pPr>
        <w:pStyle w:val="ListParagraph"/>
        <w:tabs>
          <w:tab w:val="left" w:pos="2344"/>
        </w:tabs>
        <w:ind w:right="720"/>
        <w:jc w:val="both"/>
        <w:rPr>
          <w:bCs/>
        </w:rPr>
      </w:pPr>
      <w:r w:rsidRPr="00834403">
        <w:rPr>
          <w:bCs/>
          <w:u w:val="single"/>
        </w:rPr>
        <w:t>Value Investment Risk</w:t>
      </w:r>
      <w:r w:rsidRPr="00834403">
        <w:rPr>
          <w:bCs/>
        </w:rPr>
        <w:t>. Value stocks may perform differently from the market as a whole and following a value-oriented investment strategy may cause a portfolio to underperform growth stocks.</w:t>
      </w:r>
    </w:p>
    <w:p w14:paraId="6E5CB816" w14:textId="77777777" w:rsidR="00F17F0B" w:rsidRPr="00834403" w:rsidRDefault="00F17F0B" w:rsidP="00F17F0B">
      <w:pPr>
        <w:pStyle w:val="ListParagraph"/>
        <w:tabs>
          <w:tab w:val="left" w:pos="2344"/>
        </w:tabs>
        <w:ind w:right="720"/>
        <w:jc w:val="both"/>
        <w:rPr>
          <w:bCs/>
        </w:rPr>
      </w:pPr>
    </w:p>
    <w:p w14:paraId="760F12E3" w14:textId="26965228" w:rsidR="00F17F0B" w:rsidRPr="00834403" w:rsidRDefault="00F17F0B" w:rsidP="00F17F0B">
      <w:pPr>
        <w:pStyle w:val="ListParagraph"/>
        <w:tabs>
          <w:tab w:val="left" w:pos="2344"/>
        </w:tabs>
        <w:ind w:right="720"/>
        <w:jc w:val="both"/>
        <w:rPr>
          <w:bCs/>
        </w:rPr>
      </w:pPr>
      <w:r w:rsidRPr="00834403">
        <w:rPr>
          <w:bCs/>
          <w:u w:val="single"/>
        </w:rPr>
        <w:t>Growth Investment Risk</w:t>
      </w:r>
      <w:r w:rsidRPr="00834403">
        <w:rPr>
          <w:bCs/>
        </w:rPr>
        <w:t>. Prices of growth stocks tend to be higher in relation to their companies’ earnings and may be more sensitive to market, political and economic developments than other stocks, making their prices more volatile</w:t>
      </w:r>
      <w:r w:rsidR="00AC7F33" w:rsidRPr="00834403">
        <w:rPr>
          <w:bCs/>
        </w:rPr>
        <w:t xml:space="preserve">. </w:t>
      </w:r>
    </w:p>
    <w:p w14:paraId="3B5478CA" w14:textId="77777777" w:rsidR="00F17F0B" w:rsidRPr="00834403" w:rsidRDefault="00F17F0B" w:rsidP="00F17F0B">
      <w:pPr>
        <w:pStyle w:val="ListParagraph"/>
        <w:tabs>
          <w:tab w:val="left" w:pos="2344"/>
        </w:tabs>
        <w:ind w:right="720"/>
        <w:jc w:val="both"/>
        <w:rPr>
          <w:bCs/>
        </w:rPr>
      </w:pPr>
    </w:p>
    <w:p w14:paraId="32AAADA2" w14:textId="77777777" w:rsidR="00F17F0B" w:rsidRPr="00834403" w:rsidRDefault="00F17F0B" w:rsidP="00F17F0B">
      <w:pPr>
        <w:pStyle w:val="ListParagraph"/>
        <w:tabs>
          <w:tab w:val="left" w:pos="2344"/>
        </w:tabs>
        <w:ind w:right="720"/>
        <w:jc w:val="both"/>
        <w:rPr>
          <w:bCs/>
        </w:rPr>
      </w:pPr>
      <w:r w:rsidRPr="00834403">
        <w:rPr>
          <w:bCs/>
          <w:u w:val="single"/>
        </w:rPr>
        <w:t>Small Company Risk</w:t>
      </w:r>
      <w:r w:rsidRPr="00834403">
        <w:rPr>
          <w:bCs/>
        </w:rPr>
        <w:t>. Securities of small companies are often less liquid than those of large companies and this could make it difficult to sell a small company security at a desired time or price. As a result, small company stocks may fluctuate relatively more in price. In general, small capitalization companies are more vulnerable than larger companies to adverse business or economic developments and they may have more limited resources.</w:t>
      </w:r>
    </w:p>
    <w:p w14:paraId="58D3E7EE" w14:textId="77777777" w:rsidR="00F17F0B" w:rsidRPr="00834403" w:rsidRDefault="00F17F0B" w:rsidP="00F17F0B">
      <w:pPr>
        <w:pStyle w:val="ListParagraph"/>
        <w:tabs>
          <w:tab w:val="left" w:pos="2344"/>
        </w:tabs>
        <w:ind w:right="720"/>
        <w:jc w:val="both"/>
        <w:rPr>
          <w:bCs/>
        </w:rPr>
      </w:pPr>
    </w:p>
    <w:p w14:paraId="54758B9F" w14:textId="77777777" w:rsidR="00F17F0B" w:rsidRPr="00834403" w:rsidRDefault="00F17F0B" w:rsidP="00F17F0B">
      <w:pPr>
        <w:pStyle w:val="ListParagraph"/>
        <w:tabs>
          <w:tab w:val="left" w:pos="2344"/>
        </w:tabs>
        <w:ind w:right="720"/>
        <w:jc w:val="both"/>
        <w:rPr>
          <w:bCs/>
        </w:rPr>
      </w:pPr>
      <w:r w:rsidRPr="00834403">
        <w:rPr>
          <w:bCs/>
          <w:u w:val="single"/>
        </w:rPr>
        <w:t>Commodity Risk</w:t>
      </w:r>
      <w:r w:rsidRPr="00834403">
        <w:rPr>
          <w:bCs/>
        </w:rPr>
        <w:t>. The value of commodity-linked derivative instruments may be affected by changes in overall market movements, commodity index volatility, changes in interest rates, or factors affecting a particular industry or commodity, such as drought, floods, weather, livestock disease, embargoes, tariffs, and international economic, political, and regulatory developments.</w:t>
      </w:r>
    </w:p>
    <w:p w14:paraId="3C7A3DC3" w14:textId="77777777" w:rsidR="00F17F0B" w:rsidRPr="00834403" w:rsidRDefault="00F17F0B" w:rsidP="00F17F0B">
      <w:pPr>
        <w:pStyle w:val="ListParagraph"/>
        <w:tabs>
          <w:tab w:val="left" w:pos="2344"/>
        </w:tabs>
        <w:ind w:right="720"/>
        <w:jc w:val="both"/>
        <w:rPr>
          <w:bCs/>
        </w:rPr>
      </w:pPr>
    </w:p>
    <w:p w14:paraId="38A02401" w14:textId="39361A00" w:rsidR="00F17F0B" w:rsidRPr="00834403" w:rsidRDefault="00F17F0B" w:rsidP="00F17F0B">
      <w:pPr>
        <w:pStyle w:val="ListParagraph"/>
        <w:tabs>
          <w:tab w:val="left" w:pos="2344"/>
        </w:tabs>
        <w:ind w:right="720"/>
        <w:jc w:val="both"/>
        <w:rPr>
          <w:bCs/>
        </w:rPr>
      </w:pPr>
      <w:r w:rsidRPr="00834403">
        <w:rPr>
          <w:bCs/>
          <w:u w:val="single"/>
        </w:rPr>
        <w:t>Foreign Securities and Currencies Risk</w:t>
      </w:r>
      <w:r w:rsidRPr="00834403">
        <w:rPr>
          <w:bCs/>
        </w:rPr>
        <w:t>. Foreign securities prices may decline or fluctuate because of: (</w:t>
      </w:r>
      <w:proofErr w:type="spellStart"/>
      <w:r w:rsidRPr="00834403">
        <w:rPr>
          <w:bCs/>
        </w:rPr>
        <w:t>i</w:t>
      </w:r>
      <w:proofErr w:type="spellEnd"/>
      <w:r w:rsidRPr="00834403">
        <w:rPr>
          <w:bCs/>
        </w:rPr>
        <w:t>) economic or political actions of foreign governments, and/or (ii) less regulated or liquid securities markets</w:t>
      </w:r>
      <w:r w:rsidR="00AC7F33" w:rsidRPr="00834403">
        <w:rPr>
          <w:bCs/>
        </w:rPr>
        <w:t xml:space="preserve">. </w:t>
      </w:r>
      <w:r w:rsidRPr="00834403">
        <w:rPr>
          <w:bCs/>
        </w:rPr>
        <w:t>Investors holding these securities are also exposed to foreign currency risk (the possibility that foreign currency will fluctuate in value against the U.S. dollar)</w:t>
      </w:r>
      <w:r w:rsidR="00AC7F33" w:rsidRPr="00834403">
        <w:rPr>
          <w:bCs/>
        </w:rPr>
        <w:t xml:space="preserve">. </w:t>
      </w:r>
    </w:p>
    <w:p w14:paraId="7291FCBF" w14:textId="77777777" w:rsidR="00F17F0B" w:rsidRPr="00834403" w:rsidRDefault="00F17F0B" w:rsidP="00F17F0B">
      <w:pPr>
        <w:pStyle w:val="ListParagraph"/>
        <w:tabs>
          <w:tab w:val="left" w:pos="2344"/>
        </w:tabs>
        <w:ind w:right="720"/>
        <w:jc w:val="both"/>
        <w:rPr>
          <w:bCs/>
        </w:rPr>
      </w:pPr>
    </w:p>
    <w:p w14:paraId="659A290A" w14:textId="77777777" w:rsidR="00F17F0B" w:rsidRPr="00834403" w:rsidRDefault="00F17F0B" w:rsidP="00F17F0B">
      <w:pPr>
        <w:pStyle w:val="ListParagraph"/>
        <w:tabs>
          <w:tab w:val="left" w:pos="2344"/>
        </w:tabs>
        <w:ind w:right="720"/>
        <w:jc w:val="both"/>
        <w:rPr>
          <w:bCs/>
        </w:rPr>
      </w:pPr>
      <w:r w:rsidRPr="00834403">
        <w:rPr>
          <w:bCs/>
          <w:u w:val="single"/>
        </w:rPr>
        <w:t>Interest Rate Risk</w:t>
      </w:r>
      <w:r w:rsidRPr="00834403">
        <w:rPr>
          <w:bCs/>
        </w:rPr>
        <w:t>. Fixed income securities and fixed income-based securities are subject to interest rate risk because the prices of fixed income securities tend to move in the opposite direction of interest rates. When interest rates rise, fixed income security prices tend to fall. When interest rates fall, fixed income security prices tend to rise. In general, fixed income securities with longer maturities are more sensitive to these price changes.</w:t>
      </w:r>
    </w:p>
    <w:p w14:paraId="662555FF" w14:textId="77777777" w:rsidR="00F17F0B" w:rsidRPr="00834403" w:rsidRDefault="00F17F0B" w:rsidP="00F17F0B">
      <w:pPr>
        <w:pStyle w:val="ListParagraph"/>
        <w:tabs>
          <w:tab w:val="left" w:pos="2344"/>
        </w:tabs>
        <w:ind w:right="720"/>
        <w:jc w:val="both"/>
        <w:rPr>
          <w:bCs/>
        </w:rPr>
      </w:pPr>
    </w:p>
    <w:p w14:paraId="41611105" w14:textId="17D19EC4" w:rsidR="00F17F0B" w:rsidRPr="00834403" w:rsidRDefault="00F17F0B" w:rsidP="00BB2DF1">
      <w:pPr>
        <w:pStyle w:val="ListParagraph"/>
        <w:tabs>
          <w:tab w:val="left" w:pos="2344"/>
        </w:tabs>
        <w:ind w:right="720"/>
        <w:jc w:val="both"/>
        <w:rPr>
          <w:bCs/>
        </w:rPr>
      </w:pPr>
      <w:r w:rsidRPr="00834403">
        <w:rPr>
          <w:bCs/>
          <w:u w:val="single"/>
        </w:rPr>
        <w:t>Inflation Risk</w:t>
      </w:r>
      <w:r w:rsidRPr="00834403">
        <w:rPr>
          <w:bCs/>
        </w:rPr>
        <w:t>. When any type of inflation is present, a dollar at present value will not carry the same purchasing power as a dollar in the future, because that purchasing power erodes at the rate of inflation</w:t>
      </w:r>
      <w:r w:rsidR="00AC7F33" w:rsidRPr="00834403">
        <w:rPr>
          <w:bCs/>
        </w:rPr>
        <w:t xml:space="preserve">. </w:t>
      </w:r>
    </w:p>
    <w:p w14:paraId="43D6D08C" w14:textId="77777777" w:rsidR="00491711" w:rsidRPr="00834403" w:rsidRDefault="00491711" w:rsidP="00F17F0B">
      <w:pPr>
        <w:pStyle w:val="ListParagraph"/>
        <w:tabs>
          <w:tab w:val="left" w:pos="2344"/>
        </w:tabs>
        <w:ind w:right="720"/>
        <w:jc w:val="both"/>
        <w:rPr>
          <w:bCs/>
          <w:u w:val="single"/>
        </w:rPr>
      </w:pPr>
    </w:p>
    <w:p w14:paraId="230B5BA2" w14:textId="48D28E66" w:rsidR="00F17F0B" w:rsidRPr="00834403" w:rsidRDefault="00F17F0B" w:rsidP="00F17F0B">
      <w:pPr>
        <w:pStyle w:val="ListParagraph"/>
        <w:tabs>
          <w:tab w:val="left" w:pos="2344"/>
        </w:tabs>
        <w:ind w:right="720"/>
        <w:jc w:val="both"/>
        <w:rPr>
          <w:bCs/>
        </w:rPr>
      </w:pPr>
      <w:r w:rsidRPr="00834403">
        <w:rPr>
          <w:bCs/>
          <w:u w:val="single"/>
        </w:rPr>
        <w:t>Reinvestment Risk</w:t>
      </w:r>
      <w:r w:rsidRPr="00834403">
        <w:rPr>
          <w:bCs/>
        </w:rPr>
        <w:t>. Future proceeds from investments may have to be reinvested at a potentially lower rate of return (i.e.</w:t>
      </w:r>
      <w:r w:rsidR="00AD63B4">
        <w:rPr>
          <w:bCs/>
        </w:rPr>
        <w:t>,</w:t>
      </w:r>
      <w:r w:rsidRPr="00834403">
        <w:rPr>
          <w:bCs/>
        </w:rPr>
        <w:t xml:space="preserve"> interest rate), which primarily relates to fixed income securities</w:t>
      </w:r>
      <w:r w:rsidR="00AC7F33" w:rsidRPr="00834403">
        <w:rPr>
          <w:bCs/>
        </w:rPr>
        <w:t xml:space="preserve">. </w:t>
      </w:r>
    </w:p>
    <w:p w14:paraId="05C7285A" w14:textId="77777777" w:rsidR="00F17F0B" w:rsidRPr="00834403" w:rsidRDefault="00F17F0B" w:rsidP="00F17F0B">
      <w:pPr>
        <w:pStyle w:val="ListParagraph"/>
        <w:tabs>
          <w:tab w:val="left" w:pos="2344"/>
        </w:tabs>
        <w:ind w:right="720"/>
        <w:jc w:val="both"/>
        <w:rPr>
          <w:bCs/>
        </w:rPr>
      </w:pPr>
    </w:p>
    <w:p w14:paraId="4463B7A6" w14:textId="77777777" w:rsidR="00F17F0B" w:rsidRPr="00834403" w:rsidRDefault="00F17F0B" w:rsidP="00F17F0B">
      <w:pPr>
        <w:pStyle w:val="ListParagraph"/>
        <w:tabs>
          <w:tab w:val="left" w:pos="2344"/>
        </w:tabs>
        <w:ind w:right="720"/>
        <w:jc w:val="both"/>
        <w:rPr>
          <w:bCs/>
        </w:rPr>
      </w:pPr>
      <w:r w:rsidRPr="00834403">
        <w:rPr>
          <w:bCs/>
          <w:u w:val="single"/>
        </w:rPr>
        <w:t>Credit Risk</w:t>
      </w:r>
      <w:r w:rsidRPr="00834403">
        <w:rPr>
          <w:bCs/>
        </w:rPr>
        <w:t>. The issuer of a security may be unable to make interest payments and/or repay principal when due. A downgrade to an issuer’s credit rating or a perceived change in an issuer’s financial strength may affect a security’s value and impact performance. Credit risk is considered greater for fixed income securities with ratings below investment grade. Fixed income securities that are below investment grade involve higher credit risk and are considered speculative.</w:t>
      </w:r>
    </w:p>
    <w:p w14:paraId="40892290" w14:textId="77777777" w:rsidR="00F17F0B" w:rsidRPr="00834403" w:rsidRDefault="00F17F0B" w:rsidP="00F17F0B">
      <w:pPr>
        <w:pStyle w:val="ListParagraph"/>
        <w:tabs>
          <w:tab w:val="left" w:pos="2344"/>
        </w:tabs>
        <w:ind w:right="720"/>
        <w:jc w:val="both"/>
        <w:rPr>
          <w:bCs/>
          <w:u w:val="single"/>
        </w:rPr>
      </w:pPr>
    </w:p>
    <w:p w14:paraId="67FFBE2F" w14:textId="77777777" w:rsidR="00F17F0B" w:rsidRPr="00834403" w:rsidRDefault="00F17F0B" w:rsidP="00F17F0B">
      <w:pPr>
        <w:pStyle w:val="ListParagraph"/>
        <w:tabs>
          <w:tab w:val="left" w:pos="2344"/>
        </w:tabs>
        <w:ind w:right="720"/>
        <w:jc w:val="both"/>
        <w:rPr>
          <w:bCs/>
        </w:rPr>
      </w:pPr>
      <w:r w:rsidRPr="00834403">
        <w:rPr>
          <w:bCs/>
          <w:u w:val="single"/>
        </w:rPr>
        <w:t>Call Risk</w:t>
      </w:r>
      <w:r w:rsidRPr="00834403">
        <w:rPr>
          <w:bCs/>
        </w:rPr>
        <w:t>. During periods of falling interest rates, a bond issuer will call or repay a higher-yielding bond before its maturity date, forcing the investment to reinvest in bonds with lower interest rates than the original obligations.</w:t>
      </w:r>
    </w:p>
    <w:p w14:paraId="5930030A" w14:textId="77777777" w:rsidR="00F17F0B" w:rsidRPr="00834403" w:rsidRDefault="00F17F0B" w:rsidP="00F17F0B">
      <w:pPr>
        <w:pStyle w:val="ListParagraph"/>
        <w:tabs>
          <w:tab w:val="left" w:pos="2344"/>
        </w:tabs>
        <w:ind w:right="720"/>
        <w:jc w:val="both"/>
        <w:rPr>
          <w:bCs/>
          <w:u w:val="single"/>
        </w:rPr>
      </w:pPr>
    </w:p>
    <w:p w14:paraId="21F17B0A" w14:textId="77777777" w:rsidR="00F17F0B" w:rsidRPr="00834403" w:rsidRDefault="00F17F0B" w:rsidP="00F17F0B">
      <w:pPr>
        <w:pStyle w:val="ListParagraph"/>
        <w:tabs>
          <w:tab w:val="left" w:pos="2344"/>
        </w:tabs>
        <w:ind w:right="720"/>
        <w:jc w:val="both"/>
        <w:rPr>
          <w:bCs/>
        </w:rPr>
      </w:pPr>
      <w:r w:rsidRPr="00834403">
        <w:rPr>
          <w:bCs/>
          <w:u w:val="single"/>
        </w:rPr>
        <w:t>Regulatory Risk</w:t>
      </w:r>
      <w:r w:rsidRPr="00834403">
        <w:rPr>
          <w:bCs/>
        </w:rPr>
        <w:t xml:space="preserve">. Changes in laws and regulations from any government can change the market value of companies subject to such regulations. </w:t>
      </w:r>
      <w:r w:rsidRPr="00834403">
        <w:t>Certain industries are more susceptible to government regulation. For example, changes in zoning, tax structure or laws may impact the return on investments.</w:t>
      </w:r>
    </w:p>
    <w:p w14:paraId="4809F165" w14:textId="77777777" w:rsidR="00F17F0B" w:rsidRPr="00834403" w:rsidRDefault="00F17F0B" w:rsidP="00F17F0B">
      <w:pPr>
        <w:pStyle w:val="ListParagraph"/>
        <w:tabs>
          <w:tab w:val="left" w:pos="2344"/>
        </w:tabs>
        <w:ind w:right="720"/>
        <w:jc w:val="both"/>
        <w:rPr>
          <w:bCs/>
        </w:rPr>
      </w:pPr>
    </w:p>
    <w:p w14:paraId="37F0AA5A" w14:textId="78DDA0F3" w:rsidR="00330DE2" w:rsidRDefault="00F17F0B" w:rsidP="00BF0DEC">
      <w:pPr>
        <w:pStyle w:val="ListParagraph"/>
        <w:tabs>
          <w:tab w:val="left" w:pos="2344"/>
        </w:tabs>
        <w:ind w:right="720"/>
        <w:jc w:val="both"/>
        <w:rPr>
          <w:bCs/>
          <w:u w:val="single"/>
        </w:rPr>
      </w:pPr>
      <w:r w:rsidRPr="00834403">
        <w:rPr>
          <w:bCs/>
          <w:u w:val="single"/>
        </w:rPr>
        <w:t>Mutual Fund Risk</w:t>
      </w:r>
      <w:r w:rsidRPr="00834403">
        <w:rPr>
          <w:bCs/>
        </w:rPr>
        <w:t xml:space="preserve">. Mutual funds are operated by investment companies that raise money from shareholders and invests it in stocks, bonds, and/or other types of securities. Each </w:t>
      </w:r>
      <w:r w:rsidRPr="00834403">
        <w:rPr>
          <w:bCs/>
        </w:rPr>
        <w:lastRenderedPageBreak/>
        <w:t xml:space="preserve">fund will have a manager that trades the fund’s investments in accordance with the fund’s investment objective. Mutual funds charge a separate management fee for their services, so the returns on mutual funds are reduced by the costs to manage the funds. While mutual funds generally provide diversification, risks can be significantly increased if the fund is concentrated in a particular sector of the market. Mutual funds come in many varieties. Some invest aggressively for capital appreciation, while others are conservative and are designed to generate income for shareholders. In addition, the client’s overall portfolio may be affected by losses of an underlying fund and the level of risk arising from the investment </w:t>
      </w:r>
      <w:r w:rsidRPr="00834403">
        <w:rPr>
          <w:bCs/>
          <w:u w:val="single"/>
        </w:rPr>
        <w:t>practices of an underlying fund (such as the use of derivatives)</w:t>
      </w:r>
      <w:r w:rsidR="00AC7F33" w:rsidRPr="00834403">
        <w:rPr>
          <w:bCs/>
          <w:u w:val="single"/>
        </w:rPr>
        <w:t xml:space="preserve">. </w:t>
      </w:r>
    </w:p>
    <w:p w14:paraId="2E37D07B" w14:textId="77777777" w:rsidR="00BF0DEC" w:rsidRDefault="00BF0DEC" w:rsidP="00BF0DEC">
      <w:pPr>
        <w:pStyle w:val="ListParagraph"/>
        <w:tabs>
          <w:tab w:val="left" w:pos="2344"/>
        </w:tabs>
        <w:ind w:right="720"/>
        <w:jc w:val="both"/>
        <w:rPr>
          <w:bCs/>
          <w:u w:val="single"/>
        </w:rPr>
      </w:pPr>
    </w:p>
    <w:p w14:paraId="44E86F83" w14:textId="1592B32E" w:rsidR="00F17F0B" w:rsidRPr="00834403" w:rsidRDefault="00F17F0B" w:rsidP="00F17F0B">
      <w:pPr>
        <w:ind w:left="720" w:right="720"/>
        <w:jc w:val="both"/>
      </w:pPr>
      <w:r w:rsidRPr="00834403">
        <w:rPr>
          <w:bCs/>
          <w:u w:val="single"/>
        </w:rPr>
        <w:t>Exchange Traded Fund Risk</w:t>
      </w:r>
      <w:r w:rsidRPr="00834403">
        <w:rPr>
          <w:bCs/>
        </w:rPr>
        <w:t>. ETFs are marketable securities that are designed to track, before fees and expenses, the performance or returns of a relevant index, commodity, bonds or basket of assets, like an index fund. Unlike mutual funds, ETFs trade like common stock on a stock exchange. ETFs experience price changes throughout the day as they are bought and sold. In addition to the general risks of investing, there are specific risks to consider with respect to an investment in ETFs, including, but not limited to:  (</w:t>
      </w:r>
      <w:proofErr w:type="spellStart"/>
      <w:r w:rsidRPr="00834403">
        <w:rPr>
          <w:bCs/>
        </w:rPr>
        <w:t>i</w:t>
      </w:r>
      <w:proofErr w:type="spellEnd"/>
      <w:r w:rsidRPr="00834403">
        <w:rPr>
          <w:bCs/>
        </w:rPr>
        <w:t>) an ETF’s shares may trade at a market price that is above or below its net asset value; (ii) the ETF may employ an investment strategy that utilizes high leverage ratios; or (iii) trading of an ETF’s shares may be halted if the listing exchange’s officials deem such action appropriate, the shares are de-listed from the exchange, or the activation of market-wide “circuit breakers” (which are tied to large decreases in stock prices) halts stock trading generally.</w:t>
      </w:r>
    </w:p>
    <w:p w14:paraId="240ACAD6" w14:textId="77777777" w:rsidR="00690BEA" w:rsidRPr="00834403" w:rsidRDefault="00690BEA" w:rsidP="002F1B8C">
      <w:pPr>
        <w:pStyle w:val="Header"/>
        <w:tabs>
          <w:tab w:val="clear" w:pos="4680"/>
          <w:tab w:val="clear" w:pos="9360"/>
        </w:tabs>
        <w:ind w:left="720" w:right="720"/>
        <w:jc w:val="both"/>
      </w:pPr>
    </w:p>
    <w:p w14:paraId="4D1429D7" w14:textId="3644EA31" w:rsidR="00F17F0B" w:rsidRPr="00834403" w:rsidRDefault="00F17F0B" w:rsidP="00F17F0B">
      <w:pPr>
        <w:ind w:left="720" w:right="720"/>
        <w:jc w:val="both"/>
      </w:pPr>
      <w:r w:rsidRPr="00834403">
        <w:rPr>
          <w:bCs/>
          <w:u w:val="single"/>
        </w:rPr>
        <w:t>Inverse/Enhanced Market Strategies</w:t>
      </w:r>
      <w:r w:rsidRPr="00834403">
        <w:rPr>
          <w:bCs/>
        </w:rPr>
        <w:t xml:space="preserve">. </w:t>
      </w:r>
      <w:r w:rsidRPr="00834403">
        <w:t xml:space="preserve">The Registrant </w:t>
      </w:r>
      <w:r w:rsidRPr="00834403">
        <w:rPr>
          <w:u w:val="single"/>
        </w:rPr>
        <w:t>may utilize</w:t>
      </w:r>
      <w:r w:rsidRPr="00834403">
        <w:t xml:space="preserve"> long and short mutual funds and/or ETFs that are designed to perform in either an: (1) </w:t>
      </w:r>
      <w:r w:rsidRPr="00834403">
        <w:rPr>
          <w:u w:val="single"/>
        </w:rPr>
        <w:t>inverse relationship</w:t>
      </w:r>
      <w:r w:rsidRPr="00834403">
        <w:t xml:space="preserve"> to certain market indices (at a rate of 1 or more times the inverse [opposite] result of the corresponding index) as an investment strategy and/or for the purpose of hedging against downside market risk; and (2) </w:t>
      </w:r>
      <w:r w:rsidRPr="00834403">
        <w:rPr>
          <w:u w:val="single"/>
        </w:rPr>
        <w:t>enhanced relationship</w:t>
      </w:r>
      <w:r w:rsidRPr="00834403">
        <w:t xml:space="preserve"> to certain market indices (at a rate of 1 or more times the actual result of the corresponding index) as an investment strategy and/or for the purpose of increasing gains in an advancing market. There can be </w:t>
      </w:r>
      <w:r w:rsidRPr="00834403">
        <w:rPr>
          <w:bCs/>
          <w:u w:val="single"/>
        </w:rPr>
        <w:t>no assurance</w:t>
      </w:r>
      <w:r w:rsidRPr="00834403">
        <w:t xml:space="preserve"> that any such strategy will prove profitable or successful. In light of these enhanced risks/rewards, a client may direct the Registrant, in writing, not to employ any or all such strategies for their accounts</w:t>
      </w:r>
      <w:r w:rsidR="00AC7F33" w:rsidRPr="00834403">
        <w:t xml:space="preserve">. </w:t>
      </w:r>
    </w:p>
    <w:p w14:paraId="1995FC7E" w14:textId="77777777" w:rsidR="00F17F0B" w:rsidRPr="00834403" w:rsidRDefault="00F17F0B" w:rsidP="002F1B8C">
      <w:pPr>
        <w:pStyle w:val="Header"/>
        <w:tabs>
          <w:tab w:val="clear" w:pos="4680"/>
          <w:tab w:val="clear" w:pos="9360"/>
        </w:tabs>
        <w:ind w:left="720" w:right="720"/>
        <w:jc w:val="both"/>
      </w:pPr>
    </w:p>
    <w:p w14:paraId="2A042A04" w14:textId="362A9D89" w:rsidR="002F1B8C" w:rsidRPr="00834403" w:rsidRDefault="00F17F0B" w:rsidP="002F1B8C">
      <w:pPr>
        <w:pStyle w:val="Header"/>
        <w:tabs>
          <w:tab w:val="clear" w:pos="4680"/>
          <w:tab w:val="clear" w:pos="9360"/>
        </w:tabs>
        <w:ind w:left="720" w:right="720"/>
        <w:jc w:val="both"/>
      </w:pPr>
      <w:r w:rsidRPr="00834403">
        <w:rPr>
          <w:u w:val="single"/>
        </w:rPr>
        <w:t>Asset Allocation Models</w:t>
      </w:r>
      <w:r w:rsidRPr="00834403">
        <w:t xml:space="preserve">. </w:t>
      </w:r>
      <w:r w:rsidR="002F1B8C" w:rsidRPr="00834403">
        <w:t xml:space="preserve">The Registrant may also allocate investment assets of its client accounts, on a discretionary basis, among one or more of its asset allocation models. Registrant manages </w:t>
      </w:r>
      <w:r w:rsidR="00AD63B4">
        <w:t>several</w:t>
      </w:r>
      <w:r w:rsidR="00AD63B4" w:rsidRPr="00834403">
        <w:t xml:space="preserve"> </w:t>
      </w:r>
      <w:r w:rsidR="002F1B8C" w:rsidRPr="00834403">
        <w:t xml:space="preserve">different asset allocation models comprised of mutual funds and ETFs, </w:t>
      </w:r>
      <w:r w:rsidR="00AD63B4">
        <w:t xml:space="preserve">or individual stock and bond positions </w:t>
      </w:r>
      <w:r w:rsidR="002F1B8C" w:rsidRPr="00834403">
        <w:t>with the allocation of each depending upon the particular asset allocation model</w:t>
      </w:r>
      <w:r w:rsidR="00690BEA" w:rsidRPr="00834403">
        <w:t>’</w:t>
      </w:r>
      <w:r w:rsidR="002F1B8C" w:rsidRPr="00834403">
        <w:t xml:space="preserve">s investment </w:t>
      </w:r>
      <w:r w:rsidR="000547EA" w:rsidRPr="00834403">
        <w:t>objectives</w:t>
      </w:r>
      <w:r w:rsidR="002F1B8C" w:rsidRPr="00834403">
        <w:t xml:space="preserve"> (e.g.</w:t>
      </w:r>
      <w:r w:rsidR="00AD63B4">
        <w:t>,</w:t>
      </w:r>
      <w:r w:rsidR="002F1B8C" w:rsidRPr="00834403">
        <w:t xml:space="preserve"> Conservative, Balanced, Growth, Aggressive Growth, and All Equity). The asset allocation models have been designed to comply with the requirements of Rule 3a-4 of the Investment Company Act of 1940</w:t>
      </w:r>
      <w:r w:rsidR="00AC7F33" w:rsidRPr="00834403">
        <w:t xml:space="preserve">. </w:t>
      </w:r>
      <w:r w:rsidR="002F1B8C" w:rsidRPr="00834403">
        <w:t>Rule 3a-4 provides similarly managed investment programs, such as Registrant</w:t>
      </w:r>
      <w:r w:rsidR="00690BEA" w:rsidRPr="00834403">
        <w:t>’</w:t>
      </w:r>
      <w:r w:rsidR="002F1B8C" w:rsidRPr="00834403">
        <w:t>s asset allocation models, with a non-exclusive safe harbor from the definition of an investment company</w:t>
      </w:r>
      <w:r w:rsidR="00AC7F33" w:rsidRPr="00834403">
        <w:t xml:space="preserve">. </w:t>
      </w:r>
      <w:r w:rsidR="002F1B8C" w:rsidRPr="00834403">
        <w:t>In accordance with Rule 3a-4, the following disclosure is applicable to Registrant</w:t>
      </w:r>
      <w:r w:rsidR="00690BEA" w:rsidRPr="00834403">
        <w:t>’</w:t>
      </w:r>
      <w:r w:rsidR="002F1B8C" w:rsidRPr="00834403">
        <w:t>s management of client assets:</w:t>
      </w:r>
    </w:p>
    <w:p w14:paraId="7CCCB6CA" w14:textId="77777777" w:rsidR="002F1B8C" w:rsidRPr="00104E94" w:rsidRDefault="002F1B8C" w:rsidP="002F1B8C">
      <w:pPr>
        <w:pStyle w:val="Header"/>
        <w:tabs>
          <w:tab w:val="clear" w:pos="9360"/>
        </w:tabs>
        <w:ind w:left="720" w:right="720"/>
        <w:jc w:val="both"/>
      </w:pPr>
    </w:p>
    <w:p w14:paraId="548D4D55" w14:textId="3FFF20E6" w:rsidR="002F1B8C" w:rsidRPr="00104E94" w:rsidRDefault="002F1B8C" w:rsidP="002F1B8C">
      <w:pPr>
        <w:pStyle w:val="StarkText"/>
        <w:ind w:left="720" w:right="720"/>
        <w:rPr>
          <w:sz w:val="22"/>
          <w:szCs w:val="22"/>
        </w:rPr>
      </w:pPr>
      <w:r w:rsidRPr="00104E94">
        <w:rPr>
          <w:sz w:val="22"/>
          <w:szCs w:val="22"/>
        </w:rPr>
        <w:t xml:space="preserve">1.  </w:t>
      </w:r>
      <w:r w:rsidRPr="00104E94">
        <w:rPr>
          <w:sz w:val="22"/>
          <w:szCs w:val="22"/>
          <w:u w:val="single"/>
        </w:rPr>
        <w:t>Initial Interview</w:t>
      </w:r>
      <w:r w:rsidRPr="00104E94">
        <w:rPr>
          <w:sz w:val="22"/>
          <w:szCs w:val="22"/>
        </w:rPr>
        <w:t xml:space="preserve"> – at the opening of the account, the Registrant, through its designated representatives, shall obtain from the client information sufficient to determine the client</w:t>
      </w:r>
      <w:r w:rsidR="00690BEA" w:rsidRPr="00104E94">
        <w:rPr>
          <w:sz w:val="22"/>
          <w:szCs w:val="22"/>
        </w:rPr>
        <w:t>’</w:t>
      </w:r>
      <w:r w:rsidRPr="00104E94">
        <w:rPr>
          <w:sz w:val="22"/>
          <w:szCs w:val="22"/>
        </w:rPr>
        <w:t xml:space="preserve">s financial situation and investment </w:t>
      </w:r>
      <w:r w:rsidR="002F060E" w:rsidRPr="00104E94">
        <w:rPr>
          <w:sz w:val="22"/>
          <w:szCs w:val="22"/>
        </w:rPr>
        <w:t>objectives.</w:t>
      </w:r>
    </w:p>
    <w:p w14:paraId="4BDC89B9" w14:textId="399E0061" w:rsidR="002F1B8C" w:rsidRPr="00104E94" w:rsidRDefault="002F1B8C" w:rsidP="002F1B8C">
      <w:pPr>
        <w:pStyle w:val="StarkText"/>
        <w:ind w:left="720" w:right="720"/>
        <w:rPr>
          <w:sz w:val="22"/>
          <w:szCs w:val="22"/>
        </w:rPr>
      </w:pPr>
      <w:r w:rsidRPr="00104E94">
        <w:rPr>
          <w:sz w:val="22"/>
          <w:szCs w:val="22"/>
        </w:rPr>
        <w:t xml:space="preserve">2.  </w:t>
      </w:r>
      <w:r w:rsidRPr="00104E94">
        <w:rPr>
          <w:sz w:val="22"/>
          <w:szCs w:val="22"/>
          <w:u w:val="single"/>
        </w:rPr>
        <w:t>Individual Treatment</w:t>
      </w:r>
      <w:r w:rsidRPr="00104E94">
        <w:rPr>
          <w:sz w:val="22"/>
          <w:szCs w:val="22"/>
        </w:rPr>
        <w:t xml:space="preserve"> - the account is managed on the basis of the client</w:t>
      </w:r>
      <w:r w:rsidR="00690BEA" w:rsidRPr="00104E94">
        <w:rPr>
          <w:sz w:val="22"/>
          <w:szCs w:val="22"/>
        </w:rPr>
        <w:t>’</w:t>
      </w:r>
      <w:r w:rsidRPr="00104E94">
        <w:rPr>
          <w:sz w:val="22"/>
          <w:szCs w:val="22"/>
        </w:rPr>
        <w:t xml:space="preserve">s financial situation and investment </w:t>
      </w:r>
      <w:r w:rsidR="002F060E" w:rsidRPr="00104E94">
        <w:rPr>
          <w:sz w:val="22"/>
          <w:szCs w:val="22"/>
        </w:rPr>
        <w:t>objectives.</w:t>
      </w:r>
    </w:p>
    <w:p w14:paraId="669C61DC" w14:textId="7D81677F" w:rsidR="002F1B8C" w:rsidRPr="00104E94" w:rsidRDefault="002F1B8C" w:rsidP="002F1B8C">
      <w:pPr>
        <w:pStyle w:val="StarkText"/>
        <w:ind w:left="720" w:right="720"/>
        <w:rPr>
          <w:sz w:val="22"/>
          <w:szCs w:val="22"/>
        </w:rPr>
      </w:pPr>
      <w:r w:rsidRPr="00104E94">
        <w:rPr>
          <w:sz w:val="22"/>
          <w:szCs w:val="22"/>
        </w:rPr>
        <w:lastRenderedPageBreak/>
        <w:t xml:space="preserve">3.  </w:t>
      </w:r>
      <w:r w:rsidRPr="00104E94">
        <w:rPr>
          <w:sz w:val="22"/>
          <w:szCs w:val="22"/>
          <w:u w:val="single"/>
        </w:rPr>
        <w:t>Quarterly Notice</w:t>
      </w:r>
      <w:r w:rsidRPr="00104E94">
        <w:rPr>
          <w:sz w:val="22"/>
          <w:szCs w:val="22"/>
        </w:rPr>
        <w:t xml:space="preserve"> – at least quarterly the Registrant shall notify the client to advise the Registrant whether the client</w:t>
      </w:r>
      <w:r w:rsidR="00690BEA" w:rsidRPr="00104E94">
        <w:rPr>
          <w:sz w:val="22"/>
          <w:szCs w:val="22"/>
        </w:rPr>
        <w:t>’</w:t>
      </w:r>
      <w:r w:rsidRPr="00104E94">
        <w:rPr>
          <w:sz w:val="22"/>
          <w:szCs w:val="22"/>
        </w:rPr>
        <w:t xml:space="preserve">s financial situation or investment objectives have changed, or if the client wants to impose and/or modify any reasonable restrictions on the management of the </w:t>
      </w:r>
      <w:r w:rsidR="002F060E" w:rsidRPr="00104E94">
        <w:rPr>
          <w:sz w:val="22"/>
          <w:szCs w:val="22"/>
        </w:rPr>
        <w:t>account.</w:t>
      </w:r>
    </w:p>
    <w:p w14:paraId="18632518" w14:textId="20B78334" w:rsidR="002F1B8C" w:rsidRPr="00104E94" w:rsidRDefault="002F1B8C" w:rsidP="002F1B8C">
      <w:pPr>
        <w:pStyle w:val="StarkText"/>
        <w:ind w:left="720" w:right="720"/>
        <w:rPr>
          <w:sz w:val="22"/>
          <w:szCs w:val="22"/>
        </w:rPr>
      </w:pPr>
      <w:r w:rsidRPr="00104E94">
        <w:rPr>
          <w:sz w:val="22"/>
          <w:szCs w:val="22"/>
        </w:rPr>
        <w:t xml:space="preserve">4.  </w:t>
      </w:r>
      <w:r w:rsidRPr="00104E94">
        <w:rPr>
          <w:sz w:val="22"/>
          <w:szCs w:val="22"/>
          <w:u w:val="single"/>
        </w:rPr>
        <w:t>Annual Contact</w:t>
      </w:r>
      <w:r w:rsidRPr="00104E94">
        <w:rPr>
          <w:sz w:val="22"/>
          <w:szCs w:val="22"/>
        </w:rPr>
        <w:t xml:space="preserve"> – at least annually, the Registrant shall contact the client to determine whether the client</w:t>
      </w:r>
      <w:r w:rsidR="00690BEA" w:rsidRPr="00104E94">
        <w:rPr>
          <w:sz w:val="22"/>
          <w:szCs w:val="22"/>
        </w:rPr>
        <w:t>’</w:t>
      </w:r>
      <w:r w:rsidRPr="00104E94">
        <w:rPr>
          <w:sz w:val="22"/>
          <w:szCs w:val="22"/>
        </w:rPr>
        <w:t xml:space="preserve">s financial situation or investment objectives have changed, or if the client wants to impose and/or modify any reasonable restrictions on the management of the </w:t>
      </w:r>
      <w:r w:rsidR="002F060E" w:rsidRPr="00104E94">
        <w:rPr>
          <w:sz w:val="22"/>
          <w:szCs w:val="22"/>
        </w:rPr>
        <w:t>account.</w:t>
      </w:r>
      <w:r w:rsidRPr="00104E94">
        <w:rPr>
          <w:sz w:val="22"/>
          <w:szCs w:val="22"/>
        </w:rPr>
        <w:t xml:space="preserve"> </w:t>
      </w:r>
    </w:p>
    <w:p w14:paraId="2E92B9F9" w14:textId="3B3126D3" w:rsidR="002F1B8C" w:rsidRPr="00104E94" w:rsidRDefault="002F1B8C" w:rsidP="002F1B8C">
      <w:pPr>
        <w:pStyle w:val="StarkText"/>
        <w:ind w:left="720" w:right="720"/>
        <w:rPr>
          <w:sz w:val="22"/>
          <w:szCs w:val="22"/>
        </w:rPr>
      </w:pPr>
      <w:r w:rsidRPr="00104E94">
        <w:rPr>
          <w:sz w:val="22"/>
          <w:szCs w:val="22"/>
        </w:rPr>
        <w:t xml:space="preserve">5.  </w:t>
      </w:r>
      <w:r w:rsidRPr="00104E94">
        <w:rPr>
          <w:sz w:val="22"/>
          <w:szCs w:val="22"/>
          <w:u w:val="single"/>
        </w:rPr>
        <w:t>Consultation Available</w:t>
      </w:r>
      <w:r w:rsidRPr="00104E94">
        <w:rPr>
          <w:sz w:val="22"/>
          <w:szCs w:val="22"/>
        </w:rPr>
        <w:t xml:space="preserve"> – the Registrant shall be reasonably available to consult with the client relative to the status of the </w:t>
      </w:r>
      <w:r w:rsidR="002F060E" w:rsidRPr="00104E94">
        <w:rPr>
          <w:sz w:val="22"/>
          <w:szCs w:val="22"/>
        </w:rPr>
        <w:t>account.</w:t>
      </w:r>
    </w:p>
    <w:p w14:paraId="4DF55E65" w14:textId="67AB4AAF" w:rsidR="002F1B8C" w:rsidRPr="00104E94" w:rsidRDefault="002F1B8C" w:rsidP="002F1B8C">
      <w:pPr>
        <w:pStyle w:val="StarkText"/>
        <w:ind w:left="720" w:right="720"/>
        <w:rPr>
          <w:sz w:val="22"/>
          <w:szCs w:val="22"/>
        </w:rPr>
      </w:pPr>
      <w:r w:rsidRPr="00104E94">
        <w:rPr>
          <w:sz w:val="22"/>
          <w:szCs w:val="22"/>
        </w:rPr>
        <w:t xml:space="preserve">6. </w:t>
      </w:r>
      <w:r w:rsidRPr="00104E94">
        <w:rPr>
          <w:sz w:val="22"/>
          <w:szCs w:val="22"/>
          <w:u w:val="single"/>
        </w:rPr>
        <w:t>Quarterly Report</w:t>
      </w:r>
      <w:r w:rsidRPr="00104E94">
        <w:rPr>
          <w:sz w:val="22"/>
          <w:szCs w:val="22"/>
        </w:rPr>
        <w:t xml:space="preserve"> – the client shall be provided with a quarterly report for the account for the preceding </w:t>
      </w:r>
      <w:r w:rsidR="002F060E" w:rsidRPr="00104E94">
        <w:rPr>
          <w:sz w:val="22"/>
          <w:szCs w:val="22"/>
        </w:rPr>
        <w:t>period.</w:t>
      </w:r>
    </w:p>
    <w:p w14:paraId="593339D5" w14:textId="315D1A34" w:rsidR="002F1B8C" w:rsidRPr="00104E94" w:rsidRDefault="002F1B8C" w:rsidP="002F1B8C">
      <w:pPr>
        <w:pStyle w:val="StarkText"/>
        <w:ind w:left="720" w:right="720"/>
        <w:rPr>
          <w:sz w:val="22"/>
          <w:szCs w:val="22"/>
        </w:rPr>
      </w:pPr>
      <w:r w:rsidRPr="00104E94">
        <w:rPr>
          <w:sz w:val="22"/>
          <w:szCs w:val="22"/>
        </w:rPr>
        <w:t xml:space="preserve">7.  </w:t>
      </w:r>
      <w:r w:rsidRPr="00104E94">
        <w:rPr>
          <w:sz w:val="22"/>
          <w:szCs w:val="22"/>
          <w:u w:val="single"/>
        </w:rPr>
        <w:t>Ability to Impose Restrictions</w:t>
      </w:r>
      <w:r w:rsidRPr="00104E94">
        <w:rPr>
          <w:sz w:val="22"/>
          <w:szCs w:val="22"/>
        </w:rPr>
        <w:t xml:space="preserve"> – the client shall have the ability to impose reasonable restrictions on the management of the account, including the ability to instruct the Registrant not to purchase certain </w:t>
      </w:r>
      <w:r w:rsidR="002F060E" w:rsidRPr="00104E94">
        <w:rPr>
          <w:sz w:val="22"/>
          <w:szCs w:val="22"/>
        </w:rPr>
        <w:t>securities.</w:t>
      </w:r>
    </w:p>
    <w:p w14:paraId="1D3E84DC" w14:textId="6623976A" w:rsidR="002F1B8C" w:rsidRPr="00104E94" w:rsidRDefault="002F1B8C" w:rsidP="002F1B8C">
      <w:pPr>
        <w:pStyle w:val="StarkText"/>
        <w:ind w:left="720" w:right="720"/>
        <w:rPr>
          <w:sz w:val="22"/>
          <w:szCs w:val="22"/>
        </w:rPr>
      </w:pPr>
      <w:r w:rsidRPr="00104E94">
        <w:rPr>
          <w:sz w:val="22"/>
          <w:szCs w:val="22"/>
        </w:rPr>
        <w:t xml:space="preserve">8.  </w:t>
      </w:r>
      <w:r w:rsidRPr="00104E94">
        <w:rPr>
          <w:sz w:val="22"/>
          <w:szCs w:val="22"/>
          <w:u w:val="single"/>
        </w:rPr>
        <w:t>No Pooling</w:t>
      </w:r>
      <w:r w:rsidRPr="00104E94">
        <w:rPr>
          <w:sz w:val="22"/>
          <w:szCs w:val="22"/>
        </w:rPr>
        <w:t xml:space="preserve"> – the client</w:t>
      </w:r>
      <w:r w:rsidR="00690BEA" w:rsidRPr="00104E94">
        <w:rPr>
          <w:sz w:val="22"/>
          <w:szCs w:val="22"/>
        </w:rPr>
        <w:t>’</w:t>
      </w:r>
      <w:r w:rsidRPr="00104E94">
        <w:rPr>
          <w:sz w:val="22"/>
          <w:szCs w:val="22"/>
        </w:rPr>
        <w:t xml:space="preserve">s beneficial interest in a security does not represent an undivided interest in all the securities held by the custodian, but rather represents a direct and beneficial interest in the securities which comprise the </w:t>
      </w:r>
      <w:r w:rsidR="002F060E" w:rsidRPr="00104E94">
        <w:rPr>
          <w:sz w:val="22"/>
          <w:szCs w:val="22"/>
        </w:rPr>
        <w:t>account.</w:t>
      </w:r>
    </w:p>
    <w:p w14:paraId="027BB5A8" w14:textId="7E74AA3A" w:rsidR="002F1B8C" w:rsidRPr="00104E94" w:rsidRDefault="002F1B8C" w:rsidP="002F1B8C">
      <w:pPr>
        <w:pStyle w:val="StarkText"/>
        <w:ind w:left="720" w:right="720"/>
        <w:rPr>
          <w:sz w:val="22"/>
          <w:szCs w:val="22"/>
        </w:rPr>
      </w:pPr>
      <w:r w:rsidRPr="00104E94">
        <w:rPr>
          <w:sz w:val="22"/>
          <w:szCs w:val="22"/>
        </w:rPr>
        <w:t xml:space="preserve">9.  </w:t>
      </w:r>
      <w:r w:rsidRPr="00104E94">
        <w:rPr>
          <w:sz w:val="22"/>
          <w:szCs w:val="22"/>
          <w:u w:val="single"/>
        </w:rPr>
        <w:t>Separate Account</w:t>
      </w:r>
      <w:r w:rsidRPr="00104E94">
        <w:rPr>
          <w:sz w:val="22"/>
          <w:szCs w:val="22"/>
        </w:rPr>
        <w:t xml:space="preserve"> - a separate account is maintained for the client with the </w:t>
      </w:r>
      <w:r w:rsidR="002F060E" w:rsidRPr="00104E94">
        <w:rPr>
          <w:sz w:val="22"/>
          <w:szCs w:val="22"/>
        </w:rPr>
        <w:t>Custodian.</w:t>
      </w:r>
      <w:r w:rsidRPr="00104E94">
        <w:rPr>
          <w:sz w:val="22"/>
          <w:szCs w:val="22"/>
        </w:rPr>
        <w:t xml:space="preserve"> </w:t>
      </w:r>
    </w:p>
    <w:p w14:paraId="5EF49751" w14:textId="77777777" w:rsidR="002F1B8C" w:rsidRPr="00104E94" w:rsidRDefault="002F1B8C" w:rsidP="002F1B8C">
      <w:pPr>
        <w:pStyle w:val="StarkText"/>
        <w:ind w:left="720" w:right="720"/>
        <w:rPr>
          <w:sz w:val="22"/>
          <w:szCs w:val="22"/>
        </w:rPr>
      </w:pPr>
      <w:r w:rsidRPr="00104E94">
        <w:rPr>
          <w:sz w:val="22"/>
          <w:szCs w:val="22"/>
        </w:rPr>
        <w:t xml:space="preserve">10. </w:t>
      </w:r>
      <w:r w:rsidRPr="00104E94">
        <w:rPr>
          <w:sz w:val="22"/>
          <w:szCs w:val="22"/>
          <w:u w:val="single"/>
        </w:rPr>
        <w:t>Ownership</w:t>
      </w:r>
      <w:r w:rsidRPr="00104E94">
        <w:rPr>
          <w:sz w:val="22"/>
          <w:szCs w:val="22"/>
        </w:rPr>
        <w:t xml:space="preserve"> – each client retains indicia of ownership of the account (e. g. right to withdraw securities or cash, exercise or delegate proxy voting, and receive transaction confirmations). </w:t>
      </w:r>
    </w:p>
    <w:p w14:paraId="685DDB7D" w14:textId="77777777" w:rsidR="002F1B8C" w:rsidRPr="00104E94" w:rsidRDefault="002F1B8C" w:rsidP="002F1B8C">
      <w:pPr>
        <w:pStyle w:val="StarkText"/>
        <w:ind w:left="720" w:right="720"/>
        <w:rPr>
          <w:sz w:val="22"/>
          <w:szCs w:val="22"/>
        </w:rPr>
      </w:pPr>
    </w:p>
    <w:p w14:paraId="73BA2BD0" w14:textId="4CDCF373" w:rsidR="002F1B8C" w:rsidRPr="00104E94" w:rsidRDefault="002F1B8C" w:rsidP="002F1B8C">
      <w:pPr>
        <w:ind w:left="720" w:right="720"/>
        <w:jc w:val="both"/>
      </w:pPr>
      <w:r w:rsidRPr="00104E94">
        <w:t xml:space="preserve">The Registrant believes that its annual investment management fee is reasonable in relation to: (1) the advisory services provided under the </w:t>
      </w:r>
      <w:r w:rsidRPr="00104E94">
        <w:rPr>
          <w:iCs/>
        </w:rPr>
        <w:t>Investment Advisory Agreement</w:t>
      </w:r>
      <w:r w:rsidRPr="00104E94">
        <w:t>; and (2) the fees charged by other investment advisers offering similar services/programs. However, Registrant</w:t>
      </w:r>
      <w:r w:rsidR="00690BEA" w:rsidRPr="00104E94">
        <w:t>’</w:t>
      </w:r>
      <w:r w:rsidRPr="00104E94">
        <w:t>s annual investment advisory fee may be higher than that charged by other investment advisers offering similar services/programs</w:t>
      </w:r>
      <w:r w:rsidR="00AC7F33" w:rsidRPr="00104E94">
        <w:t xml:space="preserve">. </w:t>
      </w:r>
      <w:r w:rsidRPr="00104E94">
        <w:t>In addition to Registrant</w:t>
      </w:r>
      <w:r w:rsidR="00690BEA" w:rsidRPr="00104E94">
        <w:t>’</w:t>
      </w:r>
      <w:r w:rsidRPr="00104E94">
        <w:t>s annual investment management fee, the client will also incur charges imposed directly at the mutual and exchange traded fund level (e.g., management fees and other fund expenses). Registrant</w:t>
      </w:r>
      <w:r w:rsidR="00690BEA" w:rsidRPr="00104E94">
        <w:t>’</w:t>
      </w:r>
      <w:r w:rsidRPr="00104E94">
        <w:t>s investment allocation models may involve above-average portfolio turnover which could negatively impact upon the net after-tax gain experienced by an individual client in a taxable account.</w:t>
      </w:r>
    </w:p>
    <w:p w14:paraId="482FCFDC" w14:textId="77777777" w:rsidR="00473B1D" w:rsidRPr="00104E94" w:rsidRDefault="00473B1D">
      <w:pPr>
        <w:pStyle w:val="Heading1"/>
      </w:pPr>
      <w:bookmarkStart w:id="23" w:name="_Toc273621959"/>
      <w:bookmarkStart w:id="24" w:name="_Toc351646177"/>
      <w:bookmarkStart w:id="25" w:name="_Toc130818863"/>
      <w:r w:rsidRPr="00104E94">
        <w:t>Item 9</w:t>
      </w:r>
      <w:r w:rsidRPr="00104E94">
        <w:tab/>
        <w:t>Disciplinary Information</w:t>
      </w:r>
      <w:bookmarkEnd w:id="23"/>
      <w:bookmarkEnd w:id="24"/>
      <w:bookmarkEnd w:id="25"/>
    </w:p>
    <w:p w14:paraId="6D460A27" w14:textId="77777777" w:rsidR="00F74CE5" w:rsidRPr="00104E94" w:rsidRDefault="00F74CE5" w:rsidP="00F74CE5"/>
    <w:p w14:paraId="33007534" w14:textId="73504C49" w:rsidR="00A028E2" w:rsidRDefault="00F74CE5" w:rsidP="0060567E">
      <w:pPr>
        <w:ind w:firstLine="720"/>
      </w:pPr>
      <w:bookmarkStart w:id="26" w:name="_Toc273621960"/>
      <w:r w:rsidRPr="00104E94">
        <w:t xml:space="preserve">The Registrant has not been the subject of any disciplinary actions. </w:t>
      </w:r>
      <w:bookmarkStart w:id="27" w:name="_Toc351646178"/>
    </w:p>
    <w:p w14:paraId="6A8B7977" w14:textId="77777777" w:rsidR="00C26989" w:rsidRPr="00104E94" w:rsidRDefault="00C26989" w:rsidP="0060567E">
      <w:pPr>
        <w:ind w:firstLine="720"/>
      </w:pPr>
    </w:p>
    <w:p w14:paraId="339D0942" w14:textId="77777777" w:rsidR="00473B1D" w:rsidRPr="00104E94" w:rsidRDefault="00473B1D" w:rsidP="00C26989">
      <w:pPr>
        <w:pStyle w:val="Heading1"/>
        <w:spacing w:before="0"/>
      </w:pPr>
      <w:bookmarkStart w:id="28" w:name="_Toc130818864"/>
      <w:r w:rsidRPr="00104E94">
        <w:t>Item 10</w:t>
      </w:r>
      <w:r w:rsidRPr="00104E94">
        <w:tab/>
        <w:t>Other Financial Industry Activities and Affiliations</w:t>
      </w:r>
      <w:bookmarkEnd w:id="26"/>
      <w:bookmarkEnd w:id="27"/>
      <w:bookmarkEnd w:id="28"/>
    </w:p>
    <w:p w14:paraId="2A78F9C0" w14:textId="77777777" w:rsidR="00473B1D" w:rsidRPr="00104E94" w:rsidRDefault="00473B1D"/>
    <w:p w14:paraId="7E120D3E" w14:textId="77777777" w:rsidR="007909B5" w:rsidRPr="00104E94" w:rsidRDefault="007909B5" w:rsidP="007909B5">
      <w:pPr>
        <w:numPr>
          <w:ilvl w:val="0"/>
          <w:numId w:val="27"/>
        </w:numPr>
        <w:ind w:right="720"/>
        <w:jc w:val="both"/>
      </w:pPr>
      <w:bookmarkStart w:id="29" w:name="_Toc273621961"/>
      <w:r w:rsidRPr="00104E94">
        <w:t>Neither the Registrant, nor its representatives, are registered or have an application pending to register, as a broker-dealer or a registered representative of a broker-dealer.</w:t>
      </w:r>
    </w:p>
    <w:p w14:paraId="15930334" w14:textId="77777777" w:rsidR="007909B5" w:rsidRPr="00104E94" w:rsidRDefault="007909B5" w:rsidP="007909B5">
      <w:pPr>
        <w:ind w:left="720" w:right="720"/>
        <w:jc w:val="both"/>
      </w:pPr>
      <w:r w:rsidRPr="00104E94">
        <w:t xml:space="preserve"> </w:t>
      </w:r>
    </w:p>
    <w:p w14:paraId="43EEA926" w14:textId="77777777" w:rsidR="007909B5" w:rsidRPr="00104E94" w:rsidRDefault="007909B5" w:rsidP="007909B5">
      <w:pPr>
        <w:numPr>
          <w:ilvl w:val="0"/>
          <w:numId w:val="27"/>
        </w:numPr>
        <w:ind w:right="720"/>
        <w:jc w:val="both"/>
      </w:pPr>
      <w:r w:rsidRPr="00104E94">
        <w:t>Neither the Registrant, nor its representatives, are registered or have an application pending to register, as a futures commission merchant, commodity pool operator, a commodity trading advisor, or a representative of the foregoing.</w:t>
      </w:r>
    </w:p>
    <w:p w14:paraId="35DBE6AE" w14:textId="77777777" w:rsidR="007909B5" w:rsidRPr="00104E94" w:rsidRDefault="007909B5" w:rsidP="007909B5">
      <w:pPr>
        <w:pStyle w:val="ListParagraph"/>
      </w:pPr>
    </w:p>
    <w:p w14:paraId="502D6CD0" w14:textId="77777777" w:rsidR="007909B5" w:rsidRPr="00104E94" w:rsidRDefault="007909B5" w:rsidP="007909B5">
      <w:pPr>
        <w:numPr>
          <w:ilvl w:val="0"/>
          <w:numId w:val="27"/>
        </w:numPr>
        <w:ind w:right="720"/>
        <w:jc w:val="both"/>
      </w:pPr>
      <w:r w:rsidRPr="00104E94">
        <w:t>The Registrant has no other relationship or arrangement with a related person that is material to its advisory business.</w:t>
      </w:r>
    </w:p>
    <w:p w14:paraId="79B44BF7" w14:textId="77777777" w:rsidR="007909B5" w:rsidRPr="00104E94" w:rsidRDefault="007909B5" w:rsidP="007909B5">
      <w:pPr>
        <w:pStyle w:val="ListParagraph"/>
      </w:pPr>
    </w:p>
    <w:p w14:paraId="3F74C4D7" w14:textId="163AD96D" w:rsidR="00C21BC6" w:rsidRPr="00BF0DEC" w:rsidRDefault="007909B5" w:rsidP="00FD6BBC">
      <w:pPr>
        <w:numPr>
          <w:ilvl w:val="0"/>
          <w:numId w:val="27"/>
        </w:numPr>
        <w:ind w:right="720"/>
        <w:jc w:val="both"/>
        <w:rPr>
          <w:b/>
          <w:bCs/>
          <w:sz w:val="24"/>
          <w:szCs w:val="28"/>
        </w:rPr>
      </w:pPr>
      <w:r w:rsidRPr="00104E94">
        <w:lastRenderedPageBreak/>
        <w:t>The Registrant does not recommend or select other investment advisors for its clients.</w:t>
      </w:r>
      <w:bookmarkStart w:id="30" w:name="_Toc351646179"/>
      <w:r w:rsidR="00C26989">
        <w:t xml:space="preserve"> </w:t>
      </w:r>
    </w:p>
    <w:p w14:paraId="04464468" w14:textId="7528F610" w:rsidR="00473B1D" w:rsidRPr="00104E94" w:rsidRDefault="00473B1D">
      <w:pPr>
        <w:pStyle w:val="Heading1"/>
        <w:ind w:left="1440" w:right="720" w:hanging="1440"/>
      </w:pPr>
      <w:bookmarkStart w:id="31" w:name="_Toc130818865"/>
      <w:r w:rsidRPr="00104E94">
        <w:t>Item 11</w:t>
      </w:r>
      <w:r w:rsidRPr="00104E94">
        <w:tab/>
        <w:t>Code of Ethics, Participation or Interest in Client Transactions and Personal Trading</w:t>
      </w:r>
      <w:bookmarkEnd w:id="29"/>
      <w:bookmarkEnd w:id="30"/>
      <w:bookmarkEnd w:id="31"/>
    </w:p>
    <w:p w14:paraId="16BB0713" w14:textId="77777777" w:rsidR="00473B1D" w:rsidRPr="00104E94" w:rsidRDefault="00473B1D"/>
    <w:p w14:paraId="200B2DB6" w14:textId="33064014" w:rsidR="00473B1D" w:rsidRPr="00104E94" w:rsidRDefault="00473B1D" w:rsidP="00CF0847">
      <w:pPr>
        <w:pStyle w:val="BlockText"/>
        <w:numPr>
          <w:ilvl w:val="0"/>
          <w:numId w:val="26"/>
        </w:numPr>
        <w:tabs>
          <w:tab w:val="clear" w:pos="0"/>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s>
        <w:ind w:right="720"/>
        <w:rPr>
          <w:sz w:val="22"/>
          <w:szCs w:val="22"/>
        </w:rPr>
      </w:pPr>
      <w:r w:rsidRPr="00104E94">
        <w:rPr>
          <w:snapToGrid w:val="0"/>
          <w:sz w:val="22"/>
          <w:szCs w:val="22"/>
        </w:rPr>
        <w:t>The Registrant maintains an investment policy relative to personal securities transactions</w:t>
      </w:r>
      <w:r w:rsidR="00AC7F33" w:rsidRPr="00104E94">
        <w:rPr>
          <w:snapToGrid w:val="0"/>
          <w:sz w:val="22"/>
          <w:szCs w:val="22"/>
        </w:rPr>
        <w:t xml:space="preserve">. </w:t>
      </w:r>
      <w:r w:rsidRPr="00104E94">
        <w:rPr>
          <w:snapToGrid w:val="0"/>
          <w:sz w:val="22"/>
          <w:szCs w:val="22"/>
        </w:rPr>
        <w:t>This investment policy is part of Registrant</w:t>
      </w:r>
      <w:r w:rsidR="00690BEA" w:rsidRPr="00104E94">
        <w:rPr>
          <w:snapToGrid w:val="0"/>
          <w:sz w:val="22"/>
          <w:szCs w:val="22"/>
        </w:rPr>
        <w:t>’</w:t>
      </w:r>
      <w:r w:rsidRPr="00104E94">
        <w:rPr>
          <w:snapToGrid w:val="0"/>
          <w:sz w:val="22"/>
          <w:szCs w:val="22"/>
        </w:rPr>
        <w:t>s overall Code of Ethics, which serves to establish a standard of business conduct for all of Registrant</w:t>
      </w:r>
      <w:r w:rsidR="00690BEA" w:rsidRPr="00104E94">
        <w:rPr>
          <w:snapToGrid w:val="0"/>
          <w:sz w:val="22"/>
          <w:szCs w:val="22"/>
        </w:rPr>
        <w:t>’</w:t>
      </w:r>
      <w:r w:rsidRPr="00104E94">
        <w:rPr>
          <w:snapToGrid w:val="0"/>
          <w:sz w:val="22"/>
          <w:szCs w:val="22"/>
        </w:rPr>
        <w:t xml:space="preserve">s </w:t>
      </w:r>
      <w:r w:rsidR="00781194" w:rsidRPr="00104E94">
        <w:rPr>
          <w:snapToGrid w:val="0"/>
          <w:sz w:val="22"/>
          <w:szCs w:val="22"/>
        </w:rPr>
        <w:t>Representatives</w:t>
      </w:r>
      <w:r w:rsidRPr="00104E94">
        <w:rPr>
          <w:snapToGrid w:val="0"/>
          <w:sz w:val="22"/>
          <w:szCs w:val="22"/>
        </w:rPr>
        <w:t xml:space="preserve"> that is based upon fundamental principles of openness, integrity, honesty and trust, a copy of which is available upon request.</w:t>
      </w:r>
    </w:p>
    <w:p w14:paraId="67E54F5E" w14:textId="77777777" w:rsidR="00B75F1C" w:rsidRPr="00104E94" w:rsidRDefault="00B75F1C" w:rsidP="00CF0847">
      <w:pPr>
        <w:pStyle w:val="BlockText"/>
        <w:tabs>
          <w:tab w:val="clear" w:pos="0"/>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s>
        <w:ind w:left="720" w:right="720"/>
        <w:rPr>
          <w:sz w:val="22"/>
          <w:szCs w:val="22"/>
        </w:rPr>
      </w:pPr>
    </w:p>
    <w:p w14:paraId="6322C873" w14:textId="77777777" w:rsidR="007909B5" w:rsidRPr="00104E94" w:rsidRDefault="00473B1D" w:rsidP="00CF0847">
      <w:pPr>
        <w:pStyle w:val="BlockText"/>
        <w:tabs>
          <w:tab w:val="clear" w:pos="0"/>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s>
        <w:ind w:left="720" w:right="720"/>
        <w:rPr>
          <w:sz w:val="22"/>
          <w:szCs w:val="22"/>
        </w:rPr>
      </w:pPr>
      <w:r w:rsidRPr="00104E94">
        <w:rPr>
          <w:sz w:val="22"/>
          <w:szCs w:val="22"/>
        </w:rPr>
        <w:t>In accordance with Section 204A of the Investment Advisers Act of 1940, the Registrant also maintains and enforces written policies reasonably designed to prevent the misuse of material non-public information by the Registrant or any person associated with the Registrant.</w:t>
      </w:r>
    </w:p>
    <w:p w14:paraId="4870D4EB" w14:textId="77777777" w:rsidR="004B32B2" w:rsidRPr="00104E94" w:rsidRDefault="004B32B2" w:rsidP="00CF0847"/>
    <w:p w14:paraId="2BA51FDA" w14:textId="3FF57374" w:rsidR="007909B5" w:rsidRPr="00104E94" w:rsidRDefault="007909B5" w:rsidP="00CF0847">
      <w:pPr>
        <w:pStyle w:val="BlockText"/>
        <w:numPr>
          <w:ilvl w:val="0"/>
          <w:numId w:val="26"/>
        </w:numPr>
        <w:tabs>
          <w:tab w:val="clear" w:pos="0"/>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s>
        <w:ind w:right="720"/>
        <w:rPr>
          <w:sz w:val="22"/>
          <w:szCs w:val="22"/>
        </w:rPr>
      </w:pPr>
      <w:r w:rsidRPr="00104E94">
        <w:rPr>
          <w:sz w:val="22"/>
          <w:szCs w:val="22"/>
        </w:rPr>
        <w:t>Neither the Registrant nor any related person of Registrant recommends, buys, or sells for client accounts, securities in which the Registrant or any related person of Registrant has a material financial interest.</w:t>
      </w:r>
    </w:p>
    <w:p w14:paraId="78C3B7EC" w14:textId="77777777" w:rsidR="00B01438" w:rsidRDefault="00B01438"/>
    <w:p w14:paraId="0773CEC0" w14:textId="77777777" w:rsidR="00473B1D" w:rsidRPr="00104E94" w:rsidRDefault="00473B1D" w:rsidP="00B75F1C">
      <w:pPr>
        <w:pStyle w:val="BlockText"/>
        <w:numPr>
          <w:ilvl w:val="0"/>
          <w:numId w:val="26"/>
        </w:numPr>
        <w:tabs>
          <w:tab w:val="clear" w:pos="0"/>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s>
        <w:ind w:right="720"/>
        <w:rPr>
          <w:sz w:val="22"/>
          <w:szCs w:val="22"/>
        </w:rPr>
      </w:pPr>
      <w:r w:rsidRPr="00104E94">
        <w:rPr>
          <w:sz w:val="22"/>
          <w:szCs w:val="22"/>
        </w:rPr>
        <w:t xml:space="preserve">The Registrant and/or representatives of the Registrant may buy or sell securities that are also recommended to clients. This practice may create a situation where the Registrant and/or representatives of the </w:t>
      </w:r>
      <w:r w:rsidR="00B75F1C" w:rsidRPr="00104E94">
        <w:rPr>
          <w:sz w:val="22"/>
          <w:szCs w:val="22"/>
        </w:rPr>
        <w:t>Registrant</w:t>
      </w:r>
      <w:r w:rsidRPr="00104E94">
        <w:rPr>
          <w:sz w:val="22"/>
          <w:szCs w:val="22"/>
        </w:rPr>
        <w:t xml:space="preserve"> are in a position to materially benefit from the sale or purchase of those securities. Therefore, this situation </w:t>
      </w:r>
      <w:r w:rsidR="00BB2DF1">
        <w:rPr>
          <w:sz w:val="22"/>
          <w:szCs w:val="22"/>
        </w:rPr>
        <w:t>presents a conflict</w:t>
      </w:r>
      <w:r w:rsidRPr="00104E94">
        <w:rPr>
          <w:sz w:val="22"/>
          <w:szCs w:val="22"/>
        </w:rPr>
        <w:t xml:space="preserve"> of interest.</w:t>
      </w:r>
      <w:r w:rsidRPr="00104E94">
        <w:rPr>
          <w:b/>
        </w:rPr>
        <w:t xml:space="preserve"> </w:t>
      </w:r>
      <w:r w:rsidRPr="00104E94">
        <w:rPr>
          <w:sz w:val="22"/>
          <w:szCs w:val="22"/>
        </w:rPr>
        <w:t xml:space="preserve">Practices such as </w:t>
      </w:r>
      <w:r w:rsidR="00690BEA" w:rsidRPr="00104E94">
        <w:rPr>
          <w:sz w:val="22"/>
        </w:rPr>
        <w:t>“</w:t>
      </w:r>
      <w:r w:rsidRPr="00104E94">
        <w:rPr>
          <w:sz w:val="22"/>
        </w:rPr>
        <w:t>scalping</w:t>
      </w:r>
      <w:r w:rsidR="00690BEA" w:rsidRPr="00104E94">
        <w:rPr>
          <w:sz w:val="22"/>
        </w:rPr>
        <w:t>”</w:t>
      </w:r>
      <w:r w:rsidRPr="00104E94">
        <w:rPr>
          <w:sz w:val="22"/>
        </w:rPr>
        <w:t xml:space="preserve"> (i.e., a practice whereby the owner of shares of a security recommends that security for investment and then immediately sells it at a profit upon the rise in the market price which follows the recommendation) could take place if the Registrant did not have adequate policies in place to detect such activit</w:t>
      </w:r>
      <w:r w:rsidRPr="00104E94">
        <w:rPr>
          <w:sz w:val="22"/>
          <w:szCs w:val="22"/>
        </w:rPr>
        <w:t xml:space="preserve">ies. In addition, this requirement can help detect insider trading, </w:t>
      </w:r>
      <w:r w:rsidR="00690BEA" w:rsidRPr="00104E94">
        <w:rPr>
          <w:sz w:val="22"/>
          <w:szCs w:val="22"/>
        </w:rPr>
        <w:t>“</w:t>
      </w:r>
      <w:r w:rsidRPr="00104E94">
        <w:rPr>
          <w:sz w:val="22"/>
          <w:szCs w:val="22"/>
        </w:rPr>
        <w:t>front-running</w:t>
      </w:r>
      <w:r w:rsidR="00690BEA" w:rsidRPr="00104E94">
        <w:rPr>
          <w:sz w:val="22"/>
          <w:szCs w:val="22"/>
        </w:rPr>
        <w:t>”</w:t>
      </w:r>
      <w:r w:rsidRPr="00104E94">
        <w:rPr>
          <w:sz w:val="22"/>
          <w:szCs w:val="22"/>
        </w:rPr>
        <w:t xml:space="preserve"> (i.e., personal trades executed prior to those of the Registrant</w:t>
      </w:r>
      <w:r w:rsidR="00690BEA" w:rsidRPr="00104E94">
        <w:rPr>
          <w:sz w:val="22"/>
          <w:szCs w:val="22"/>
        </w:rPr>
        <w:t>’</w:t>
      </w:r>
      <w:r w:rsidRPr="00104E94">
        <w:rPr>
          <w:sz w:val="22"/>
          <w:szCs w:val="22"/>
        </w:rPr>
        <w:t>s clients) and other potentially abusive practices.</w:t>
      </w:r>
    </w:p>
    <w:p w14:paraId="00CF5287" w14:textId="77777777" w:rsidR="00473B1D" w:rsidRPr="00104E94" w:rsidRDefault="00473B1D" w:rsidP="00B75F1C">
      <w:pPr>
        <w:pStyle w:val="ListParagraph"/>
      </w:pPr>
    </w:p>
    <w:p w14:paraId="2C9DB00E" w14:textId="79BF000D" w:rsidR="00473B1D" w:rsidRPr="00104E94" w:rsidRDefault="00473B1D" w:rsidP="00B75F1C">
      <w:pPr>
        <w:ind w:left="720" w:right="720"/>
        <w:jc w:val="both"/>
      </w:pPr>
      <w:r w:rsidRPr="00104E94">
        <w:t>The Registrant has a personal securities transaction policy in place to monitor the personal securities transactions and securities holdings of each of the Registrant</w:t>
      </w:r>
      <w:r w:rsidR="00690BEA" w:rsidRPr="00104E94">
        <w:t>’</w:t>
      </w:r>
      <w:r w:rsidRPr="00104E94">
        <w:t xml:space="preserve">s </w:t>
      </w:r>
      <w:r w:rsidR="00690BEA" w:rsidRPr="00104E94">
        <w:t>“</w:t>
      </w:r>
      <w:r w:rsidRPr="00104E94">
        <w:t>Access Persons</w:t>
      </w:r>
      <w:r w:rsidR="00AC7F33" w:rsidRPr="00104E94">
        <w:t>.”</w:t>
      </w:r>
      <w:r w:rsidRPr="00104E94">
        <w:t xml:space="preserve"> The Registrant</w:t>
      </w:r>
      <w:r w:rsidR="00690BEA" w:rsidRPr="00104E94">
        <w:t>’</w:t>
      </w:r>
      <w:r w:rsidRPr="00104E94">
        <w:t xml:space="preserve">s securities </w:t>
      </w:r>
      <w:r w:rsidR="00B75F1C" w:rsidRPr="00104E94">
        <w:t>transaction</w:t>
      </w:r>
      <w:r w:rsidRPr="00104E94">
        <w:t xml:space="preserve"> policy requires that </w:t>
      </w:r>
      <w:r w:rsidR="00BE715D" w:rsidRPr="00104E94">
        <w:t xml:space="preserve">an </w:t>
      </w:r>
      <w:r w:rsidRPr="00104E94">
        <w:t>Access Person of the Registrant must provide the Chief Compliance Officer or his/her designee with a written report of their current securities holdings within ten (10) days after becoming an Access Person. Additionally, each Access Person must provide the Chief Compliance Officer or his/her designee</w:t>
      </w:r>
      <w:r w:rsidRPr="00104E94">
        <w:rPr>
          <w:b/>
        </w:rPr>
        <w:t xml:space="preserve"> </w:t>
      </w:r>
      <w:r w:rsidRPr="00104E94">
        <w:t>with a written report of the Access Person</w:t>
      </w:r>
      <w:r w:rsidR="00690BEA" w:rsidRPr="00104E94">
        <w:t>’</w:t>
      </w:r>
      <w:r w:rsidRPr="00104E94">
        <w:t xml:space="preserve">s current securities holdings at least once each twelve (12) month period thereafter on a date the Registrant selects; provided, however that at any time that the </w:t>
      </w:r>
      <w:r w:rsidR="00BE715D" w:rsidRPr="00104E94">
        <w:t xml:space="preserve">Registrant </w:t>
      </w:r>
      <w:r w:rsidRPr="00104E94">
        <w:t>has only one Access Person, he or she shall not be required to submit any securities report described above.</w:t>
      </w:r>
    </w:p>
    <w:p w14:paraId="3877C69B" w14:textId="77777777" w:rsidR="00EB405F" w:rsidRPr="00104E94" w:rsidRDefault="00EB405F" w:rsidP="00B75F1C">
      <w:pPr>
        <w:ind w:left="720" w:right="720"/>
        <w:jc w:val="both"/>
      </w:pPr>
    </w:p>
    <w:p w14:paraId="756FEEDD" w14:textId="5CB3626A" w:rsidR="00330DE2" w:rsidRPr="00C26989" w:rsidRDefault="00473B1D" w:rsidP="00DA0F10">
      <w:pPr>
        <w:numPr>
          <w:ilvl w:val="0"/>
          <w:numId w:val="26"/>
        </w:numPr>
        <w:ind w:right="720"/>
        <w:jc w:val="both"/>
        <w:rPr>
          <w:b/>
          <w:bCs/>
          <w:sz w:val="24"/>
          <w:szCs w:val="28"/>
        </w:rPr>
      </w:pPr>
      <w:r w:rsidRPr="00104E94">
        <w:t xml:space="preserve">The Registrant and/or representatives of the Registrant may buy or sell securities, at or around the same time as those securities are recommended to clients. This practice creates a situation where the Registrant and/or representatives of the </w:t>
      </w:r>
      <w:r w:rsidR="00B75F1C" w:rsidRPr="00104E94">
        <w:t>Registrant</w:t>
      </w:r>
      <w:r w:rsidRPr="00104E94">
        <w:t xml:space="preserve"> are </w:t>
      </w:r>
      <w:r w:rsidR="002F060E" w:rsidRPr="00104E94">
        <w:t>able</w:t>
      </w:r>
      <w:r w:rsidRPr="00104E94">
        <w:t xml:space="preserve"> to materially benefit from the sale or purchase of those securities. Therefore, this situation </w:t>
      </w:r>
      <w:r w:rsidR="00BB2DF1">
        <w:t>presents a conflict</w:t>
      </w:r>
      <w:r w:rsidRPr="00104E94">
        <w:t xml:space="preserve"> of interest. As indicated above in Item 11 C, the Registrant has a personal securities transaction policy in place to monitor the personal securities transaction and securities holdings of each of Registrant</w:t>
      </w:r>
      <w:r w:rsidR="00690BEA" w:rsidRPr="00104E94">
        <w:t>’</w:t>
      </w:r>
      <w:r w:rsidRPr="00104E94">
        <w:t xml:space="preserve">s Access Persons. </w:t>
      </w:r>
      <w:bookmarkStart w:id="32" w:name="_Toc273621962"/>
      <w:bookmarkStart w:id="33" w:name="_Toc351646180"/>
    </w:p>
    <w:p w14:paraId="1FB5F39E" w14:textId="77777777" w:rsidR="00C26989" w:rsidRPr="00C26989" w:rsidRDefault="00C26989" w:rsidP="00C26989">
      <w:pPr>
        <w:ind w:left="720" w:right="720"/>
        <w:jc w:val="both"/>
        <w:rPr>
          <w:b/>
          <w:bCs/>
          <w:sz w:val="24"/>
          <w:szCs w:val="28"/>
        </w:rPr>
      </w:pPr>
    </w:p>
    <w:p w14:paraId="4C129365" w14:textId="4A3885C0" w:rsidR="00473B1D" w:rsidRPr="00104E94" w:rsidRDefault="00473B1D" w:rsidP="00C26989">
      <w:pPr>
        <w:pStyle w:val="Heading1"/>
        <w:spacing w:before="0"/>
      </w:pPr>
      <w:bookmarkStart w:id="34" w:name="_Toc130818866"/>
      <w:r w:rsidRPr="00104E94">
        <w:lastRenderedPageBreak/>
        <w:t>Item 12</w:t>
      </w:r>
      <w:r w:rsidRPr="00104E94">
        <w:tab/>
        <w:t>Brokerage Practices</w:t>
      </w:r>
      <w:bookmarkEnd w:id="32"/>
      <w:bookmarkEnd w:id="33"/>
      <w:bookmarkEnd w:id="34"/>
    </w:p>
    <w:p w14:paraId="7FAD73DC" w14:textId="77777777" w:rsidR="00473B1D" w:rsidRPr="00104E94" w:rsidRDefault="00473B1D"/>
    <w:p w14:paraId="04B82E77" w14:textId="77777777" w:rsidR="00451770" w:rsidRPr="00E85F71" w:rsidRDefault="00451770" w:rsidP="00451770">
      <w:pPr>
        <w:pStyle w:val="BlockText"/>
        <w:numPr>
          <w:ilvl w:val="0"/>
          <w:numId w:val="32"/>
        </w:numPr>
        <w:tabs>
          <w:tab w:val="clear" w:pos="0"/>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s>
        <w:ind w:right="720"/>
        <w:rPr>
          <w:snapToGrid w:val="0"/>
          <w:sz w:val="22"/>
          <w:szCs w:val="22"/>
        </w:rPr>
      </w:pPr>
      <w:r w:rsidRPr="00E85F71">
        <w:rPr>
          <w:snapToGrid w:val="0"/>
          <w:sz w:val="22"/>
          <w:szCs w:val="22"/>
        </w:rPr>
        <w:t>If the client requests that the Registrant recommend a broker-dealer/custodian for execution and/or custodial services (exclusive of those clients that may direct the Registrant to use a specific broker-dealer/custodian), Registrant generally recommends that investment management accounts be maintained at Schwab. Before engaging Registrant to provide investment management services, the client will be required to enter into a formal Investment Advisory Agreement with Registrant setting forth the terms and conditions under which Registrant shall manage the client’s assets, and a separate custodial/clearing agreement with each designated broker-dealer/custodian. Depending on which custodian clients select to maintain their account, they may experience differences in customer service, transaction timing, the availability of sweep account vehicles and money market funds, and other aspects of investing. In certain instances, these differences could cause differences in account performance.</w:t>
      </w:r>
    </w:p>
    <w:p w14:paraId="28DB4813" w14:textId="77777777" w:rsidR="00451770" w:rsidRDefault="00451770" w:rsidP="00451770">
      <w:pPr>
        <w:pStyle w:val="BlockText"/>
        <w:tabs>
          <w:tab w:val="clear" w:pos="0"/>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s>
        <w:ind w:left="720" w:right="720"/>
        <w:rPr>
          <w:snapToGrid w:val="0"/>
          <w:sz w:val="22"/>
          <w:szCs w:val="22"/>
        </w:rPr>
      </w:pPr>
    </w:p>
    <w:p w14:paraId="36B5AD93" w14:textId="77777777" w:rsidR="00185D4B" w:rsidRDefault="00451770" w:rsidP="00451770">
      <w:pPr>
        <w:pStyle w:val="BlockText"/>
        <w:tabs>
          <w:tab w:val="clear" w:pos="0"/>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s>
        <w:ind w:left="720" w:right="720"/>
        <w:rPr>
          <w:snapToGrid w:val="0"/>
          <w:sz w:val="22"/>
          <w:szCs w:val="22"/>
        </w:rPr>
      </w:pPr>
      <w:r w:rsidRPr="00E85F71">
        <w:rPr>
          <w:snapToGrid w:val="0"/>
          <w:sz w:val="22"/>
          <w:szCs w:val="22"/>
        </w:rPr>
        <w:t xml:space="preserve">Factors that the Registrant considers in recommending Schwab (or any other broker-dealer/custodian to clients) include historical relationship with the Registrant, financial strength, reputation, execution capabilities, pricing, research, and service. </w:t>
      </w:r>
    </w:p>
    <w:p w14:paraId="4C40B14C" w14:textId="77777777" w:rsidR="00185D4B" w:rsidRDefault="00185D4B" w:rsidP="00451770">
      <w:pPr>
        <w:pStyle w:val="BlockText"/>
        <w:tabs>
          <w:tab w:val="clear" w:pos="0"/>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s>
        <w:ind w:left="720" w:right="720"/>
        <w:rPr>
          <w:snapToGrid w:val="0"/>
          <w:sz w:val="22"/>
          <w:szCs w:val="22"/>
        </w:rPr>
      </w:pPr>
    </w:p>
    <w:p w14:paraId="4CD535E0" w14:textId="709DBF94" w:rsidR="00185D4B" w:rsidRDefault="00185D4B" w:rsidP="00451770">
      <w:pPr>
        <w:pStyle w:val="BlockText"/>
        <w:tabs>
          <w:tab w:val="clear" w:pos="0"/>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s>
        <w:ind w:left="720" w:right="720"/>
        <w:rPr>
          <w:sz w:val="22"/>
          <w:szCs w:val="22"/>
        </w:rPr>
      </w:pPr>
      <w:r w:rsidRPr="00185D4B">
        <w:rPr>
          <w:sz w:val="22"/>
          <w:szCs w:val="22"/>
        </w:rPr>
        <w:t xml:space="preserve">Broker-dealers such as Schwab charge brokerage commissions, transaction, and/or other type fees for effecting certain types of securities transactions (i.e., including transaction fees for certain mutual funds, and mark-ups and mark-downs charged for fixed income transactions, etc.). The types of securities for which transaction fees, commissions, and/or other type fees (as well as the amount of those fees) shall differ depending upon the broker-dealer/custodian. While certain custodians, including Schwab, generally (with the potential exception for large orders) do not currently charge fees on individual equity transactions (including ETFs), others do. </w:t>
      </w:r>
      <w:r>
        <w:rPr>
          <w:sz w:val="22"/>
          <w:szCs w:val="22"/>
        </w:rPr>
        <w:t>T</w:t>
      </w:r>
      <w:r w:rsidRPr="00185D4B">
        <w:rPr>
          <w:sz w:val="22"/>
          <w:szCs w:val="22"/>
        </w:rPr>
        <w:t xml:space="preserve">here can be no assurance that Schwab will not change their transaction fee pricing in the future. Schwab may also assess fees to clients who elect to receive trade confirmations and account statements by regular mail rather than electronically. </w:t>
      </w:r>
    </w:p>
    <w:p w14:paraId="22F506ED" w14:textId="77777777" w:rsidR="00BF0DEC" w:rsidRDefault="00BF0DEC" w:rsidP="00451770">
      <w:pPr>
        <w:pStyle w:val="BlockText"/>
        <w:tabs>
          <w:tab w:val="clear" w:pos="0"/>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s>
        <w:ind w:left="720" w:right="720"/>
        <w:rPr>
          <w:sz w:val="22"/>
          <w:szCs w:val="22"/>
        </w:rPr>
      </w:pPr>
    </w:p>
    <w:p w14:paraId="7F68C742" w14:textId="52F99684" w:rsidR="00451770" w:rsidRDefault="00BF0DEC" w:rsidP="00451770">
      <w:pPr>
        <w:pStyle w:val="BlockText"/>
        <w:tabs>
          <w:tab w:val="clear" w:pos="0"/>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s>
        <w:ind w:left="720" w:right="720"/>
        <w:rPr>
          <w:snapToGrid w:val="0"/>
          <w:sz w:val="22"/>
          <w:szCs w:val="22"/>
        </w:rPr>
      </w:pPr>
      <w:r w:rsidRPr="00BF01A2">
        <w:rPr>
          <w:sz w:val="22"/>
          <w:szCs w:val="22"/>
        </w:rPr>
        <w:t xml:space="preserve">To the extent that a transaction fee is payable, Registrant shall have a duty to obtain best execution for such transaction. However, that does not mean that the client will not pay a transaction fee that is higher than another qualified broker-dealer might charge to effect the same transaction </w:t>
      </w:r>
      <w:r w:rsidR="00451770" w:rsidRPr="00BF01A2">
        <w:rPr>
          <w:snapToGrid w:val="0"/>
          <w:sz w:val="22"/>
          <w:szCs w:val="22"/>
        </w:rPr>
        <w:t>where the Registrant determines, in good faith, that the commission/transaction fee is reasonable. In seeking best</w:t>
      </w:r>
      <w:r w:rsidR="00451770" w:rsidRPr="00E85F71">
        <w:rPr>
          <w:snapToGrid w:val="0"/>
          <w:sz w:val="22"/>
          <w:szCs w:val="22"/>
        </w:rPr>
        <w:t xml:space="preserve"> execution, the determinative factor is not the lowest possible cost, but whether the transaction represents the best qualitative execution, taking into consideration the full range of a broker-dealer’s services, including the value of research provided, execution capability, commission rates, and responsiveness. Accordingly, although Registrant will seek competitive rates, it may not necessarily obtain the lowest possible commission rates for client account transactions. The brokerage commissions or transaction fees charged by the designated broker-dealer/custodian are exclusive of, and in addition to, Registrant’s investment advisory fee.</w:t>
      </w:r>
      <w:r w:rsidR="00C936AF">
        <w:rPr>
          <w:snapToGrid w:val="0"/>
          <w:sz w:val="22"/>
          <w:szCs w:val="22"/>
        </w:rPr>
        <w:t xml:space="preserve"> </w:t>
      </w:r>
      <w:r w:rsidR="00C936AF" w:rsidRPr="00677549">
        <w:rPr>
          <w:snapToGrid w:val="0"/>
          <w:sz w:val="22"/>
          <w:szCs w:val="22"/>
          <w:u w:val="single"/>
        </w:rPr>
        <w:t>Registrant’s Chief Compliance Officer, Richard Cavanagh, remains available to address any questions that a client or prospective client may have regarding the above.</w:t>
      </w:r>
      <w:r w:rsidR="00C936AF" w:rsidRPr="00C936AF">
        <w:rPr>
          <w:snapToGrid w:val="0"/>
          <w:sz w:val="22"/>
          <w:szCs w:val="22"/>
        </w:rPr>
        <w:t xml:space="preserve">  </w:t>
      </w:r>
    </w:p>
    <w:p w14:paraId="71B11E51" w14:textId="77777777" w:rsidR="00451770" w:rsidRDefault="00451770" w:rsidP="00451770">
      <w:pPr>
        <w:rPr>
          <w:u w:val="single"/>
        </w:rPr>
      </w:pPr>
    </w:p>
    <w:p w14:paraId="32E506A2" w14:textId="77777777" w:rsidR="00451770" w:rsidRPr="00834403" w:rsidRDefault="00451770" w:rsidP="00451770">
      <w:pPr>
        <w:numPr>
          <w:ilvl w:val="0"/>
          <w:numId w:val="21"/>
        </w:numPr>
        <w:ind w:left="1080"/>
        <w:rPr>
          <w:u w:val="single"/>
        </w:rPr>
      </w:pPr>
      <w:r w:rsidRPr="00834403">
        <w:rPr>
          <w:u w:val="single"/>
        </w:rPr>
        <w:t>Non-Soft Dollar Research and Additional Benefits</w:t>
      </w:r>
    </w:p>
    <w:p w14:paraId="69F3F933" w14:textId="68D35359" w:rsidR="00473B1D" w:rsidRPr="006C3D25" w:rsidRDefault="00451770" w:rsidP="00451770">
      <w:pPr>
        <w:ind w:left="1080" w:right="720"/>
        <w:jc w:val="both"/>
      </w:pPr>
      <w:r w:rsidRPr="00E85F71">
        <w:t xml:space="preserve">Although not a material consideration when determining whether to recommend that a client utilize the services of a particular broker-dealer/custodian, Registrant receives from Schwab (and could receive from another broker-dealer/custodian, investment platform, independent investment manager, and/or product/fund sponsor) without cost (and/or at a discount) support services and/or products, certain of which assist the Registrant to better monitor and service client accounts maintained at such institutions. </w:t>
      </w:r>
      <w:r w:rsidRPr="00E85F71">
        <w:lastRenderedPageBreak/>
        <w:t>The support services that Registrant receives can include: investment-related research, pricing information and market data, software and other technology that provide access to client account data, compliance and/or practice management-related publications, discounted or free consulting services, discounted and/or free travel and attendance at conferences, meetings, and other educational and/or social events, marketing support, computer hardware and/or software and/or other products used by Registrant in furtherance of its investment advisory business operations. Certain of the support services and/or products that Registrant can receive may assist the Registrant in managing and administering client accounts. Others do not directly provide such assistance, but rather assist the Registrant to manage and further develop its business enterprise</w:t>
      </w:r>
      <w:r w:rsidR="00AC7F33" w:rsidRPr="00E85F71">
        <w:t xml:space="preserve">. </w:t>
      </w:r>
      <w:r w:rsidRPr="00E85F71">
        <w:t xml:space="preserve">The receipt of these support services and products presents conflicts of </w:t>
      </w:r>
      <w:r w:rsidR="002005FC" w:rsidRPr="00E85F71">
        <w:t>interest because</w:t>
      </w:r>
      <w:r w:rsidRPr="00E85F71">
        <w:t xml:space="preserve"> the Registrant has the incentive to recommend that clients utilize Schwab as a broker-dealer/custodian based upon its interest in continuing to receive the above-described support services and products, rather than based on a client’s particular need. However, Registrant’s clients do not pay more for investment transactions executed and/or assets maintained at Schwab </w:t>
      </w:r>
      <w:r w:rsidR="002F060E" w:rsidRPr="00E85F71">
        <w:t>because of</w:t>
      </w:r>
      <w:r w:rsidRPr="00E85F71">
        <w:t xml:space="preserve"> this arrangement. There is no corresponding commitment made by the Registrant to Schwab or any other entity to invest any specific amount or percentage of client assets in any specific mutual funds, securities</w:t>
      </w:r>
      <w:r w:rsidR="00381CD4">
        <w:t>,</w:t>
      </w:r>
      <w:r w:rsidRPr="00E85F71">
        <w:t xml:space="preserve"> or other investment products as a result of the above arrangements. </w:t>
      </w:r>
      <w:r w:rsidRPr="006C3D25">
        <w:rPr>
          <w:bCs/>
          <w:u w:val="single"/>
        </w:rPr>
        <w:t xml:space="preserve">The Registrant’s Chief Compliance Officer, </w:t>
      </w:r>
      <w:r w:rsidR="00D82D6D" w:rsidRPr="00D82D6D">
        <w:rPr>
          <w:bCs/>
          <w:u w:val="single"/>
        </w:rPr>
        <w:t>Richard Cavanagh</w:t>
      </w:r>
      <w:r w:rsidRPr="006C3D25">
        <w:rPr>
          <w:bCs/>
          <w:u w:val="single"/>
        </w:rPr>
        <w:t>, remains available to address any questions that a client or prospective client may have regarding the above arrangement and the conflict</w:t>
      </w:r>
      <w:r>
        <w:rPr>
          <w:bCs/>
          <w:u w:val="single"/>
        </w:rPr>
        <w:t>s</w:t>
      </w:r>
      <w:r w:rsidRPr="006C3D25">
        <w:rPr>
          <w:bCs/>
          <w:u w:val="single"/>
        </w:rPr>
        <w:t xml:space="preserve"> of interest presented</w:t>
      </w:r>
      <w:r w:rsidR="00AC7F33" w:rsidRPr="006C3D25">
        <w:rPr>
          <w:bCs/>
        </w:rPr>
        <w:t xml:space="preserve">. </w:t>
      </w:r>
    </w:p>
    <w:p w14:paraId="4FAC0918" w14:textId="77777777" w:rsidR="00473B1D" w:rsidRPr="00104E94" w:rsidRDefault="00473B1D">
      <w:pPr>
        <w:ind w:right="720"/>
        <w:jc w:val="both"/>
        <w:rPr>
          <w:bCs/>
        </w:rPr>
      </w:pPr>
    </w:p>
    <w:p w14:paraId="15E5C952" w14:textId="77777777" w:rsidR="003603C2" w:rsidRPr="00104E94" w:rsidRDefault="003603C2" w:rsidP="003603C2">
      <w:pPr>
        <w:numPr>
          <w:ilvl w:val="0"/>
          <w:numId w:val="21"/>
        </w:numPr>
        <w:ind w:left="1080" w:right="720"/>
        <w:jc w:val="both"/>
        <w:rPr>
          <w:bCs/>
        </w:rPr>
      </w:pPr>
      <w:r w:rsidRPr="00104E94">
        <w:rPr>
          <w:bCs/>
        </w:rPr>
        <w:t xml:space="preserve">The Registrant does not receive referrals from broker-dealers. </w:t>
      </w:r>
    </w:p>
    <w:p w14:paraId="2B68FBF9" w14:textId="77777777" w:rsidR="006D734D" w:rsidRPr="00104E94" w:rsidRDefault="006D734D">
      <w:pPr>
        <w:rPr>
          <w:bCs/>
        </w:rPr>
      </w:pPr>
    </w:p>
    <w:p w14:paraId="7597473C" w14:textId="18E98221" w:rsidR="005C5B59" w:rsidRPr="00104E94" w:rsidRDefault="003603C2" w:rsidP="005C5B59">
      <w:pPr>
        <w:numPr>
          <w:ilvl w:val="0"/>
          <w:numId w:val="21"/>
        </w:numPr>
        <w:ind w:left="1080" w:right="720"/>
        <w:jc w:val="both"/>
        <w:rPr>
          <w:bCs/>
        </w:rPr>
      </w:pPr>
      <w:r w:rsidRPr="00104E94">
        <w:rPr>
          <w:bCs/>
        </w:rPr>
        <w:t xml:space="preserve">The Registrant does not generally accept directed brokerage arrangements (when a client requires that account transactions be </w:t>
      </w:r>
      <w:r w:rsidR="00451770">
        <w:rPr>
          <w:bCs/>
        </w:rPr>
        <w:t>executed</w:t>
      </w:r>
      <w:r w:rsidRPr="00104E94">
        <w:rPr>
          <w:bCs/>
        </w:rPr>
        <w:t xml:space="preserve"> through a specific broker-dealer). In such client directed arrangements, </w:t>
      </w:r>
      <w:r w:rsidRPr="00104E94">
        <w:t xml:space="preserve">the client will negotiate terms and arrangements for their account with that broker-dealer, and Registrant will not seek better execution services or prices from other broker-dealers or be able to </w:t>
      </w:r>
      <w:r w:rsidR="002F060E">
        <w:t xml:space="preserve">block </w:t>
      </w:r>
      <w:r w:rsidR="002F060E" w:rsidRPr="00104E94">
        <w:t>the</w:t>
      </w:r>
      <w:r w:rsidRPr="00104E94">
        <w:t xml:space="preserve"> client</w:t>
      </w:r>
      <w:r w:rsidR="00690BEA" w:rsidRPr="00104E94">
        <w:t>’</w:t>
      </w:r>
      <w:r w:rsidRPr="00104E94">
        <w:t>s transactions for execution through other broker-dealers with orders for other accounts managed by Registrant. As a result, client</w:t>
      </w:r>
      <w:r w:rsidR="00690BEA" w:rsidRPr="00104E94">
        <w:t>s</w:t>
      </w:r>
      <w:r w:rsidRPr="00104E94">
        <w:t xml:space="preserve"> may pay higher commissions or other transaction costs or greater spreads, or receive less favorable net prices, on transactions for the account than would otherwise be the case.</w:t>
      </w:r>
      <w:r w:rsidR="009F4D2F" w:rsidRPr="00104E94">
        <w:t xml:space="preserve"> Higher transaction costs adversely impact account performance.</w:t>
      </w:r>
    </w:p>
    <w:p w14:paraId="4794C973" w14:textId="77777777" w:rsidR="005C5B59" w:rsidRPr="00104E94" w:rsidRDefault="005C5B59" w:rsidP="005C5B59">
      <w:pPr>
        <w:pStyle w:val="ListParagraph"/>
        <w:rPr>
          <w:b/>
          <w:u w:val="single"/>
        </w:rPr>
      </w:pPr>
    </w:p>
    <w:p w14:paraId="320115F9" w14:textId="1306A5F3" w:rsidR="003603C2" w:rsidRPr="006C3D25" w:rsidRDefault="006C3D25" w:rsidP="004B32B2">
      <w:pPr>
        <w:ind w:left="1080" w:right="720"/>
        <w:jc w:val="both"/>
        <w:rPr>
          <w:bCs/>
        </w:rPr>
      </w:pPr>
      <w:r>
        <w:t>If</w:t>
      </w:r>
      <w:r w:rsidR="003603C2" w:rsidRPr="00104E94">
        <w:t xml:space="preserve"> the client directs Registrant to </w:t>
      </w:r>
      <w:r w:rsidR="00451770">
        <w:t>execute</w:t>
      </w:r>
      <w:r w:rsidR="003603C2" w:rsidRPr="00104E94">
        <w:t xml:space="preserve"> securities transactions for the client</w:t>
      </w:r>
      <w:r w:rsidR="00690BEA" w:rsidRPr="00104E94">
        <w:t>’</w:t>
      </w:r>
      <w:r w:rsidR="003603C2" w:rsidRPr="00104E94">
        <w:t xml:space="preserve">s accounts through a specific broker-dealer, the client correspondingly acknowledges that such direction may cause the accounts to incur higher commissions or transaction costs than the accounts would otherwise incur had the client determined to </w:t>
      </w:r>
      <w:r w:rsidR="00451770">
        <w:t>execute</w:t>
      </w:r>
      <w:r w:rsidR="003603C2" w:rsidRPr="00104E94">
        <w:t xml:space="preserve"> account transactions through alternative clearing arrangements that may be available through Registrant.</w:t>
      </w:r>
      <w:r w:rsidR="005C5B59" w:rsidRPr="00104E94">
        <w:t xml:space="preserve"> Higher transaction costs adversely impact account performance. Transactions for directed accounts will generally be executed following the execution of portfolio transactions for non-directed accounts.</w:t>
      </w:r>
      <w:r w:rsidR="004B32B2" w:rsidRPr="00104E94">
        <w:rPr>
          <w:bCs/>
        </w:rPr>
        <w:t xml:space="preserve"> </w:t>
      </w:r>
      <w:r w:rsidR="003603C2" w:rsidRPr="006C3D25">
        <w:rPr>
          <w:bCs/>
          <w:u w:val="single"/>
        </w:rPr>
        <w:t>The Registrant</w:t>
      </w:r>
      <w:r w:rsidR="00690BEA" w:rsidRPr="006C3D25">
        <w:rPr>
          <w:bCs/>
          <w:u w:val="single"/>
        </w:rPr>
        <w:t>’</w:t>
      </w:r>
      <w:r w:rsidR="003603C2" w:rsidRPr="006C3D25">
        <w:rPr>
          <w:bCs/>
          <w:u w:val="single"/>
        </w:rPr>
        <w:t xml:space="preserve">s Chief Compliance Officer, </w:t>
      </w:r>
      <w:r w:rsidR="00D82D6D" w:rsidRPr="00D82D6D">
        <w:rPr>
          <w:bCs/>
          <w:u w:val="single"/>
        </w:rPr>
        <w:t>Richard Cavanagh</w:t>
      </w:r>
      <w:r w:rsidR="003603C2" w:rsidRPr="006C3D25">
        <w:rPr>
          <w:bCs/>
          <w:u w:val="single"/>
        </w:rPr>
        <w:t>, remains available to address any questions that a client or prospective client may have regarding the above arrangement</w:t>
      </w:r>
      <w:r w:rsidR="003603C2" w:rsidRPr="006C3D25">
        <w:rPr>
          <w:bCs/>
        </w:rPr>
        <w:t xml:space="preserve">. </w:t>
      </w:r>
    </w:p>
    <w:p w14:paraId="6EB4B916" w14:textId="77777777" w:rsidR="00473B1D" w:rsidRPr="00104E94" w:rsidRDefault="00473B1D">
      <w:pPr>
        <w:pStyle w:val="ListParagraph"/>
        <w:rPr>
          <w:bCs/>
        </w:rPr>
      </w:pPr>
    </w:p>
    <w:p w14:paraId="3AAD6B06" w14:textId="5131EB3A" w:rsidR="00330DE2" w:rsidRPr="00BF0DEC" w:rsidRDefault="00473B1D" w:rsidP="005147A5">
      <w:pPr>
        <w:pStyle w:val="ListParagraph"/>
        <w:numPr>
          <w:ilvl w:val="0"/>
          <w:numId w:val="32"/>
        </w:numPr>
        <w:spacing w:after="240"/>
        <w:ind w:right="780"/>
        <w:jc w:val="both"/>
        <w:rPr>
          <w:b/>
          <w:bCs/>
          <w:sz w:val="24"/>
          <w:szCs w:val="28"/>
        </w:rPr>
      </w:pPr>
      <w:r w:rsidRPr="00BF0DEC">
        <w:rPr>
          <w:snapToGrid w:val="0"/>
        </w:rPr>
        <w:t xml:space="preserve">To the extent that the Registrant provides </w:t>
      </w:r>
      <w:r w:rsidR="00040917" w:rsidRPr="00BF0DEC">
        <w:rPr>
          <w:snapToGrid w:val="0"/>
        </w:rPr>
        <w:t>investment advisory</w:t>
      </w:r>
      <w:r w:rsidRPr="00BF0DEC">
        <w:rPr>
          <w:snapToGrid w:val="0"/>
        </w:rPr>
        <w:t xml:space="preserve"> services to its clients, the t</w:t>
      </w:r>
      <w:r w:rsidRPr="00104E94">
        <w:t xml:space="preserve">ransactions for each client account generally will be </w:t>
      </w:r>
      <w:r w:rsidR="00451770">
        <w:t>executed</w:t>
      </w:r>
      <w:r w:rsidRPr="00104E94">
        <w:t xml:space="preserve"> independently, unless the Registrant decides to purchase or sell the same securities for several clients at approximately the same time. The Registrant may (but is not obligated to) combine or </w:t>
      </w:r>
      <w:r w:rsidR="009D7222">
        <w:lastRenderedPageBreak/>
        <w:t>“block”</w:t>
      </w:r>
      <w:r w:rsidRPr="00104E94">
        <w:t xml:space="preserve"> such orders to </w:t>
      </w:r>
      <w:r w:rsidR="00BB2DF1">
        <w:t xml:space="preserve">seek </w:t>
      </w:r>
      <w:r w:rsidRPr="00104E94">
        <w:t>best execution, to negotiate more favorable commission rates or to allocate equitably among the Registrant</w:t>
      </w:r>
      <w:r w:rsidR="00690BEA" w:rsidRPr="00104E94">
        <w:t>’</w:t>
      </w:r>
      <w:r w:rsidRPr="00104E94">
        <w:t>s clients differences in prices and commissions or other transaction costs that might have been obtained had such orders been placed independently</w:t>
      </w:r>
      <w:r w:rsidR="00AC7F33" w:rsidRPr="00104E94">
        <w:t xml:space="preserve">. </w:t>
      </w:r>
      <w:r w:rsidRPr="00104E94">
        <w:t>Under this procedure, transactions will be averaged as to price and will be allocated among clients in proportion to the purchase and sale orders placed for each client account on any given day</w:t>
      </w:r>
      <w:r w:rsidR="00AC7F33" w:rsidRPr="00104E94">
        <w:t xml:space="preserve">. </w:t>
      </w:r>
      <w:r w:rsidRPr="00104E94">
        <w:t xml:space="preserve">The Registrant shall not receive any additional compensation or remuneration </w:t>
      </w:r>
      <w:r w:rsidR="002F060E" w:rsidRPr="00104E94">
        <w:t>because of</w:t>
      </w:r>
      <w:r w:rsidRPr="00104E94">
        <w:t xml:space="preserve"> such aggregation.</w:t>
      </w:r>
      <w:bookmarkStart w:id="35" w:name="_Toc273621963"/>
      <w:bookmarkStart w:id="36" w:name="_Toc351646181"/>
      <w:r w:rsidR="00C26989">
        <w:t xml:space="preserve"> </w:t>
      </w:r>
    </w:p>
    <w:p w14:paraId="38BCC431" w14:textId="622B8580" w:rsidR="00473B1D" w:rsidRPr="00104E94" w:rsidRDefault="00473B1D" w:rsidP="00C26989">
      <w:pPr>
        <w:pStyle w:val="Heading1"/>
        <w:spacing w:before="0"/>
      </w:pPr>
      <w:bookmarkStart w:id="37" w:name="_Toc130818867"/>
      <w:r w:rsidRPr="00104E94">
        <w:t>Item 13</w:t>
      </w:r>
      <w:r w:rsidRPr="00104E94">
        <w:tab/>
        <w:t>Review of Accounts</w:t>
      </w:r>
      <w:bookmarkEnd w:id="35"/>
      <w:bookmarkEnd w:id="36"/>
      <w:bookmarkEnd w:id="37"/>
    </w:p>
    <w:p w14:paraId="3CBF52AF" w14:textId="77777777" w:rsidR="00B75F1C" w:rsidRPr="00104E94" w:rsidRDefault="00B75F1C" w:rsidP="00B75F1C"/>
    <w:p w14:paraId="12D3D6F9" w14:textId="1438DEEE" w:rsidR="00473B1D" w:rsidRPr="00104E94" w:rsidRDefault="008314C8" w:rsidP="00B75F1C">
      <w:pPr>
        <w:numPr>
          <w:ilvl w:val="1"/>
          <w:numId w:val="18"/>
        </w:numPr>
        <w:ind w:left="720" w:right="720"/>
        <w:jc w:val="both"/>
        <w:rPr>
          <w:color w:val="000000"/>
        </w:rPr>
      </w:pPr>
      <w:bookmarkStart w:id="38" w:name="_Toc272137418"/>
      <w:r w:rsidRPr="00104E94">
        <w:rPr>
          <w:bCs/>
          <w:color w:val="000000"/>
        </w:rPr>
        <w:t xml:space="preserve">For those clients </w:t>
      </w:r>
      <w:r w:rsidR="00582BD2">
        <w:rPr>
          <w:bCs/>
          <w:color w:val="000000"/>
        </w:rPr>
        <w:t>for</w:t>
      </w:r>
      <w:r w:rsidRPr="00104E94">
        <w:rPr>
          <w:bCs/>
          <w:color w:val="000000"/>
        </w:rPr>
        <w:t xml:space="preserve"> whom Registrant provides investment supervisory services, account reviews are conducted on an ongoing basis by the Registrant</w:t>
      </w:r>
      <w:r w:rsidR="00690BEA" w:rsidRPr="00104E94">
        <w:rPr>
          <w:bCs/>
          <w:color w:val="000000"/>
        </w:rPr>
        <w:t>’</w:t>
      </w:r>
      <w:r w:rsidRPr="00104E94">
        <w:rPr>
          <w:bCs/>
          <w:color w:val="000000"/>
        </w:rPr>
        <w:t>s Principals and/or representatives. All investment supervisory clients are advised that it remains their responsibility to advise the Registrant of any changes in their investment objectives and/or financial situation</w:t>
      </w:r>
      <w:r w:rsidR="00AC7F33" w:rsidRPr="00104E94">
        <w:rPr>
          <w:bCs/>
          <w:color w:val="000000"/>
        </w:rPr>
        <w:t xml:space="preserve">. </w:t>
      </w:r>
      <w:r w:rsidRPr="00104E94">
        <w:rPr>
          <w:bCs/>
          <w:color w:val="000000"/>
        </w:rPr>
        <w:t>All clients (in person or via telephone) are encouraged to review investment objectives and account performance with the Registrant on an annual basis</w:t>
      </w:r>
      <w:r w:rsidR="00473B1D" w:rsidRPr="00104E94">
        <w:rPr>
          <w:color w:val="000000"/>
        </w:rPr>
        <w:t>.</w:t>
      </w:r>
      <w:bookmarkEnd w:id="38"/>
    </w:p>
    <w:p w14:paraId="63EAC84D" w14:textId="77777777" w:rsidR="00B75F1C" w:rsidRPr="00104E94" w:rsidRDefault="00B75F1C" w:rsidP="00B75F1C">
      <w:pPr>
        <w:ind w:left="720" w:right="720"/>
        <w:jc w:val="both"/>
        <w:rPr>
          <w:color w:val="000000"/>
        </w:rPr>
      </w:pPr>
    </w:p>
    <w:p w14:paraId="41131481" w14:textId="38A12C87" w:rsidR="00473B1D" w:rsidRPr="00104E94" w:rsidRDefault="00330DE2" w:rsidP="00B75F1C">
      <w:pPr>
        <w:numPr>
          <w:ilvl w:val="1"/>
          <w:numId w:val="18"/>
        </w:numPr>
        <w:ind w:left="720" w:right="720"/>
        <w:jc w:val="both"/>
      </w:pPr>
      <w:r w:rsidRPr="00330DE2">
        <w:t>The Registrant may conduct account reviews on a non-periodic basis upon a triggering event, such as a change in client investment objectives and/or financial situation, market events, or specific client request.</w:t>
      </w:r>
    </w:p>
    <w:p w14:paraId="14066D3C" w14:textId="77777777" w:rsidR="00A66F7E" w:rsidRPr="00104E94" w:rsidRDefault="00A66F7E">
      <w:pPr>
        <w:rPr>
          <w:bCs/>
          <w:color w:val="000000"/>
        </w:rPr>
      </w:pPr>
    </w:p>
    <w:p w14:paraId="55995E81" w14:textId="086427A4" w:rsidR="00E5066F" w:rsidRDefault="008314C8" w:rsidP="004B32B2">
      <w:pPr>
        <w:numPr>
          <w:ilvl w:val="1"/>
          <w:numId w:val="18"/>
        </w:numPr>
        <w:ind w:left="720" w:right="720"/>
        <w:jc w:val="both"/>
        <w:rPr>
          <w:bCs/>
          <w:color w:val="000000"/>
        </w:rPr>
      </w:pPr>
      <w:r w:rsidRPr="00104E94">
        <w:rPr>
          <w:bCs/>
          <w:color w:val="000000"/>
        </w:rPr>
        <w:t xml:space="preserve">Clients are provided with transaction confirmation notices and regular summary account statements directly from the broker-dealer/custodian and/or program sponsor for the client accounts. Those clients </w:t>
      </w:r>
      <w:r w:rsidR="00582BD2">
        <w:rPr>
          <w:bCs/>
          <w:color w:val="000000"/>
        </w:rPr>
        <w:t>for</w:t>
      </w:r>
      <w:r w:rsidRPr="00104E94">
        <w:rPr>
          <w:bCs/>
          <w:color w:val="000000"/>
        </w:rPr>
        <w:t xml:space="preserve"> whom Registrant provides investment advisory services may also receive a quarterly report from the Registrant summarizing account </w:t>
      </w:r>
      <w:r w:rsidR="0060567E" w:rsidRPr="00104E94">
        <w:rPr>
          <w:bCs/>
          <w:color w:val="000000"/>
        </w:rPr>
        <w:t>composition</w:t>
      </w:r>
      <w:r w:rsidR="00473B1D" w:rsidRPr="00104E94">
        <w:rPr>
          <w:bCs/>
          <w:color w:val="000000"/>
        </w:rPr>
        <w:t>.</w:t>
      </w:r>
      <w:bookmarkStart w:id="39" w:name="_Toc273621964"/>
      <w:bookmarkStart w:id="40" w:name="_Toc351646182"/>
    </w:p>
    <w:p w14:paraId="7CEFA1A6" w14:textId="77777777" w:rsidR="00C26989" w:rsidRPr="00104E94" w:rsidRDefault="00C26989" w:rsidP="00C26989">
      <w:pPr>
        <w:ind w:right="720"/>
        <w:jc w:val="both"/>
        <w:rPr>
          <w:bCs/>
          <w:color w:val="000000"/>
        </w:rPr>
      </w:pPr>
    </w:p>
    <w:p w14:paraId="77CB4E2E" w14:textId="77777777" w:rsidR="00473B1D" w:rsidRPr="00104E94" w:rsidRDefault="00473B1D" w:rsidP="00C26989">
      <w:pPr>
        <w:pStyle w:val="Heading1"/>
        <w:spacing w:before="0"/>
      </w:pPr>
      <w:bookmarkStart w:id="41" w:name="_Toc130818868"/>
      <w:r w:rsidRPr="00104E94">
        <w:t>Item 14</w:t>
      </w:r>
      <w:r w:rsidRPr="00104E94">
        <w:tab/>
        <w:t>Client Referrals and Other Compensation</w:t>
      </w:r>
      <w:bookmarkEnd w:id="39"/>
      <w:bookmarkEnd w:id="40"/>
      <w:bookmarkEnd w:id="41"/>
    </w:p>
    <w:p w14:paraId="4D833A50" w14:textId="77777777" w:rsidR="00473B1D" w:rsidRPr="00104E94" w:rsidRDefault="00473B1D">
      <w:pPr>
        <w:ind w:left="660" w:hanging="330"/>
      </w:pPr>
    </w:p>
    <w:p w14:paraId="3E60F5CA" w14:textId="53F96840" w:rsidR="00473B1D" w:rsidRPr="00F64F37" w:rsidRDefault="00707011" w:rsidP="00F64F37">
      <w:pPr>
        <w:numPr>
          <w:ilvl w:val="2"/>
          <w:numId w:val="12"/>
        </w:numPr>
        <w:tabs>
          <w:tab w:val="clear" w:pos="2340"/>
        </w:tabs>
        <w:ind w:left="720" w:right="720"/>
        <w:jc w:val="both"/>
      </w:pPr>
      <w:r w:rsidRPr="00104E94">
        <w:t>As referenced in Item 12.A</w:t>
      </w:r>
      <w:r w:rsidR="00473B1D" w:rsidRPr="00104E94">
        <w:t xml:space="preserve"> above, the Registrant receive</w:t>
      </w:r>
      <w:r w:rsidRPr="00104E94">
        <w:t>s both direct and</w:t>
      </w:r>
      <w:r w:rsidR="00473B1D" w:rsidRPr="00104E94">
        <w:t xml:space="preserve"> indirect economic benefit</w:t>
      </w:r>
      <w:r w:rsidR="00542778" w:rsidRPr="00104E94">
        <w:t>s</w:t>
      </w:r>
      <w:r w:rsidR="00473B1D" w:rsidRPr="00104E94">
        <w:t xml:space="preserve"> from Schwab</w:t>
      </w:r>
      <w:r w:rsidR="005C5B59" w:rsidRPr="00104E94">
        <w:t xml:space="preserve">, including support services and/or products </w:t>
      </w:r>
      <w:r w:rsidR="00473B1D" w:rsidRPr="00104E94">
        <w:t>without cost (and/or at a discount)</w:t>
      </w:r>
      <w:r w:rsidR="005C5B59" w:rsidRPr="00104E94">
        <w:t>.</w:t>
      </w:r>
      <w:r w:rsidR="00473B1D" w:rsidRPr="00104E94">
        <w:t xml:space="preserve"> </w:t>
      </w:r>
      <w:r w:rsidR="0098617C">
        <w:t>Registrant’s</w:t>
      </w:r>
      <w:r w:rsidR="0098617C" w:rsidRPr="00F66E56">
        <w:t xml:space="preserve"> clients do not pay more for investment transactions effected and/or assets maintained at </w:t>
      </w:r>
      <w:r w:rsidR="0098617C" w:rsidRPr="00F66E56">
        <w:rPr>
          <w:bCs/>
        </w:rPr>
        <w:t xml:space="preserve">Schwab (or any other institution) as </w:t>
      </w:r>
      <w:r w:rsidR="0098617C" w:rsidRPr="00F66E56">
        <w:t>result of this arrangement.</w:t>
      </w:r>
      <w:r w:rsidR="0098617C">
        <w:t xml:space="preserve"> </w:t>
      </w:r>
      <w:r w:rsidR="00473B1D" w:rsidRPr="00104E94">
        <w:t>There is no corresponding commitment made by the Registrant to Schwab or any other entity to invest any specific amount or percentage of client assets in any specific mutual funds, securities</w:t>
      </w:r>
      <w:r w:rsidR="00381CD4">
        <w:t>,</w:t>
      </w:r>
      <w:r w:rsidR="00473B1D" w:rsidRPr="00104E94">
        <w:t xml:space="preserve"> or other investment products as </w:t>
      </w:r>
      <w:r w:rsidR="00BE715D" w:rsidRPr="00104E94">
        <w:t xml:space="preserve">a </w:t>
      </w:r>
      <w:r w:rsidR="00473B1D" w:rsidRPr="00104E94">
        <w:t>result of the above arrangement.</w:t>
      </w:r>
      <w:r w:rsidR="00F64F37">
        <w:t xml:space="preserve"> </w:t>
      </w:r>
      <w:r w:rsidR="00473B1D" w:rsidRPr="00F64F37">
        <w:rPr>
          <w:bCs/>
          <w:u w:val="single"/>
        </w:rPr>
        <w:t>The Registrant</w:t>
      </w:r>
      <w:r w:rsidR="00690BEA" w:rsidRPr="00F64F37">
        <w:rPr>
          <w:bCs/>
          <w:u w:val="single"/>
        </w:rPr>
        <w:t>’</w:t>
      </w:r>
      <w:r w:rsidR="00473B1D" w:rsidRPr="00F64F37">
        <w:rPr>
          <w:bCs/>
          <w:u w:val="single"/>
        </w:rPr>
        <w:t>s Chief Compliance Officer</w:t>
      </w:r>
      <w:r w:rsidR="00473B1D" w:rsidRPr="00F64F37">
        <w:rPr>
          <w:u w:val="single"/>
        </w:rPr>
        <w:t>,</w:t>
      </w:r>
      <w:r w:rsidR="00473B1D" w:rsidRPr="00F64F37">
        <w:rPr>
          <w:bCs/>
          <w:u w:val="single"/>
        </w:rPr>
        <w:t xml:space="preserve"> </w:t>
      </w:r>
      <w:r w:rsidR="00D82D6D" w:rsidRPr="00D82D6D">
        <w:rPr>
          <w:bCs/>
          <w:u w:val="single"/>
        </w:rPr>
        <w:t>Richard Cavanagh</w:t>
      </w:r>
      <w:r w:rsidR="00473B1D" w:rsidRPr="00F64F37">
        <w:rPr>
          <w:bCs/>
          <w:u w:val="single"/>
        </w:rPr>
        <w:t xml:space="preserve">, remains available to address any questions that a client or prospective client may have regarding the above arrangement and </w:t>
      </w:r>
      <w:r w:rsidR="00690BEA" w:rsidRPr="00F64F37">
        <w:rPr>
          <w:bCs/>
          <w:u w:val="single"/>
        </w:rPr>
        <w:t>the</w:t>
      </w:r>
      <w:r w:rsidR="00473B1D" w:rsidRPr="00F64F37">
        <w:rPr>
          <w:bCs/>
          <w:u w:val="single"/>
        </w:rPr>
        <w:t xml:space="preserve"> conflict</w:t>
      </w:r>
      <w:r w:rsidR="00690BEA" w:rsidRPr="00F64F37">
        <w:rPr>
          <w:bCs/>
          <w:u w:val="single"/>
        </w:rPr>
        <w:t>s</w:t>
      </w:r>
      <w:r w:rsidR="00473B1D" w:rsidRPr="00F64F37">
        <w:rPr>
          <w:bCs/>
          <w:u w:val="single"/>
        </w:rPr>
        <w:t xml:space="preserve"> of interest </w:t>
      </w:r>
      <w:r w:rsidR="00690BEA" w:rsidRPr="00F64F37">
        <w:rPr>
          <w:bCs/>
          <w:u w:val="single"/>
        </w:rPr>
        <w:t>presented</w:t>
      </w:r>
      <w:r w:rsidR="00473B1D" w:rsidRPr="00F64F37">
        <w:rPr>
          <w:bCs/>
          <w:u w:val="single"/>
        </w:rPr>
        <w:t>.</w:t>
      </w:r>
    </w:p>
    <w:p w14:paraId="28C22159" w14:textId="77777777" w:rsidR="0071722D" w:rsidRPr="00104E94" w:rsidRDefault="0071722D" w:rsidP="004B32B2">
      <w:pPr>
        <w:ind w:left="720" w:right="720"/>
        <w:jc w:val="both"/>
      </w:pPr>
    </w:p>
    <w:p w14:paraId="3A861A71" w14:textId="76E5AE5C" w:rsidR="00FB5172" w:rsidRDefault="007909B5" w:rsidP="006C3D25">
      <w:pPr>
        <w:numPr>
          <w:ilvl w:val="2"/>
          <w:numId w:val="12"/>
        </w:numPr>
        <w:tabs>
          <w:tab w:val="clear" w:pos="2340"/>
        </w:tabs>
        <w:ind w:left="720" w:right="720"/>
        <w:jc w:val="both"/>
      </w:pPr>
      <w:r w:rsidRPr="00104E94">
        <w:t xml:space="preserve">Registrant </w:t>
      </w:r>
      <w:r w:rsidR="00585470" w:rsidRPr="00F66E56">
        <w:t xml:space="preserve">does not maintain </w:t>
      </w:r>
      <w:r w:rsidR="00585470">
        <w:t xml:space="preserve">promoter </w:t>
      </w:r>
      <w:r w:rsidR="00585470" w:rsidRPr="00F66E56">
        <w:t>arrangements/pay referral fee compensation to non-employees for new client introductions</w:t>
      </w:r>
      <w:bookmarkStart w:id="42" w:name="_Toc273621965"/>
      <w:bookmarkStart w:id="43" w:name="_Toc351646183"/>
      <w:r w:rsidR="00AC7F33" w:rsidRPr="00104E94">
        <w:t xml:space="preserve">. </w:t>
      </w:r>
      <w:r w:rsidR="00585470">
        <w:t>Registrant may provide employees compensation related to obtaining clients.</w:t>
      </w:r>
    </w:p>
    <w:p w14:paraId="6B2A82C7" w14:textId="77777777" w:rsidR="00CE70D9" w:rsidRDefault="00CE70D9" w:rsidP="00085F3B">
      <w:pPr>
        <w:pStyle w:val="ListParagraph"/>
      </w:pPr>
    </w:p>
    <w:p w14:paraId="244AE6DA" w14:textId="77777777" w:rsidR="00CE70D9" w:rsidRPr="006C3D25" w:rsidRDefault="00CE70D9" w:rsidP="00085F3B">
      <w:pPr>
        <w:ind w:left="720" w:right="720"/>
        <w:jc w:val="both"/>
      </w:pPr>
    </w:p>
    <w:p w14:paraId="45B122FD" w14:textId="77777777" w:rsidR="00473B1D" w:rsidRPr="00104E94" w:rsidRDefault="00473B1D">
      <w:pPr>
        <w:pStyle w:val="Heading1"/>
      </w:pPr>
      <w:bookmarkStart w:id="44" w:name="_Toc130818869"/>
      <w:r w:rsidRPr="00104E94">
        <w:t>Item 15</w:t>
      </w:r>
      <w:r w:rsidRPr="00104E94">
        <w:tab/>
        <w:t>Custody</w:t>
      </w:r>
      <w:bookmarkEnd w:id="42"/>
      <w:bookmarkEnd w:id="43"/>
      <w:bookmarkEnd w:id="44"/>
    </w:p>
    <w:p w14:paraId="379817C1" w14:textId="77777777" w:rsidR="00473B1D" w:rsidRPr="00104E94" w:rsidRDefault="00473B1D"/>
    <w:p w14:paraId="6D41B48D" w14:textId="2427FBCB" w:rsidR="00C21BC6" w:rsidRDefault="00473B1D" w:rsidP="00C26989">
      <w:pPr>
        <w:ind w:left="720" w:right="720"/>
        <w:jc w:val="both"/>
        <w:rPr>
          <w:bCs/>
        </w:rPr>
      </w:pPr>
      <w:r w:rsidRPr="00104E94">
        <w:t xml:space="preserve">The Registrant shall have the ability to have its advisory fee for each client debited by the custodian on a quarterly basis. </w:t>
      </w:r>
      <w:r w:rsidR="00F6318E" w:rsidRPr="00104E94">
        <w:rPr>
          <w:bCs/>
          <w:color w:val="000000"/>
        </w:rPr>
        <w:t xml:space="preserve">Clients are provided with transaction confirmation notices and regular summary account statements directly from the broker-dealer/custodian and/or </w:t>
      </w:r>
      <w:r w:rsidR="00F6318E" w:rsidRPr="00104E94">
        <w:rPr>
          <w:bCs/>
          <w:color w:val="000000"/>
        </w:rPr>
        <w:lastRenderedPageBreak/>
        <w:t xml:space="preserve">program sponsor for the client accounts. Those clients </w:t>
      </w:r>
      <w:r w:rsidR="00582BD2">
        <w:rPr>
          <w:bCs/>
          <w:color w:val="000000"/>
        </w:rPr>
        <w:t>for</w:t>
      </w:r>
      <w:r w:rsidR="00F6318E" w:rsidRPr="00104E94">
        <w:rPr>
          <w:bCs/>
          <w:color w:val="000000"/>
        </w:rPr>
        <w:t xml:space="preserve"> whom Registrant provides investment advisory services may also receive a quarterly report from the Registrant summarizing account activity and performance</w:t>
      </w:r>
      <w:r w:rsidRPr="00104E94">
        <w:rPr>
          <w:bCs/>
        </w:rPr>
        <w:t>.</w:t>
      </w:r>
      <w:r w:rsidR="00C26989">
        <w:rPr>
          <w:bCs/>
        </w:rPr>
        <w:t xml:space="preserve"> </w:t>
      </w:r>
    </w:p>
    <w:p w14:paraId="6B8BC002" w14:textId="77777777" w:rsidR="00C26989" w:rsidRDefault="00C26989" w:rsidP="00C26989">
      <w:pPr>
        <w:ind w:left="720" w:right="720"/>
        <w:jc w:val="both"/>
      </w:pPr>
    </w:p>
    <w:p w14:paraId="6393973D" w14:textId="7DB03DD9" w:rsidR="00AA0513" w:rsidRDefault="006C3D25" w:rsidP="006C3D25">
      <w:pPr>
        <w:ind w:left="720" w:right="720"/>
        <w:jc w:val="both"/>
      </w:pPr>
      <w:r w:rsidRPr="0090700E">
        <w:t xml:space="preserve">To the extent that the </w:t>
      </w:r>
      <w:r>
        <w:t>Registrant</w:t>
      </w:r>
      <w:r w:rsidRPr="0090700E">
        <w:t xml:space="preserve"> provides clients with periodic account statements or reports, </w:t>
      </w:r>
      <w:r>
        <w:t>Registrant</w:t>
      </w:r>
      <w:r w:rsidRPr="0090700E">
        <w:t xml:space="preserve"> urges clients to carefully review those statements and compare them t</w:t>
      </w:r>
      <w:r>
        <w:t>o custodial account statements.</w:t>
      </w:r>
      <w:r w:rsidRPr="0090700E">
        <w:t xml:space="preserve"> Registrant’s statements may vary from custodial statements based on accounting procedures, reporting dates, or valuation methodologies of certain securities. The account custodian does not verify the accuracy of the </w:t>
      </w:r>
      <w:r>
        <w:t>Registrant’s</w:t>
      </w:r>
      <w:r w:rsidRPr="0090700E">
        <w:t xml:space="preserve"> advisory fee calculation</w:t>
      </w:r>
      <w:r>
        <w:t>s</w:t>
      </w:r>
      <w:r w:rsidRPr="0090700E">
        <w:t>.</w:t>
      </w:r>
    </w:p>
    <w:p w14:paraId="301DE3A4" w14:textId="77777777" w:rsidR="006C3D25" w:rsidRPr="00104E94" w:rsidRDefault="006C3D25" w:rsidP="006C3D25">
      <w:pPr>
        <w:ind w:left="720" w:right="720"/>
        <w:jc w:val="both"/>
      </w:pPr>
    </w:p>
    <w:p w14:paraId="761110EF" w14:textId="77777777" w:rsidR="00BF0DEC" w:rsidRDefault="00690BEA" w:rsidP="0098617C">
      <w:pPr>
        <w:ind w:left="720" w:right="720"/>
        <w:jc w:val="both"/>
      </w:pPr>
      <w:bookmarkStart w:id="45" w:name="_Toc273621966"/>
      <w:bookmarkStart w:id="46" w:name="_Toc351646184"/>
      <w:r w:rsidRPr="00104E94">
        <w:t>Registrant engages in other practices and services on behalf of its clients that require disclosure at ADV Part 1, Item 9. Some of the practices and services subject the affected account</w:t>
      </w:r>
      <w:r w:rsidR="005D3398">
        <w:t>s</w:t>
      </w:r>
      <w:r w:rsidRPr="00104E94">
        <w:t xml:space="preserve"> to an annual surprise CPA examination in accordance with the requirements of Rule 206(4)-2 under the Investment Advisers Act of 1940. </w:t>
      </w:r>
      <w:r w:rsidR="002608B2" w:rsidRPr="00104E94">
        <w:t>In other cases</w:t>
      </w:r>
      <w:r w:rsidRPr="00104E94">
        <w:t xml:space="preserve">, certain clients have signed asset transfer authorizations </w:t>
      </w:r>
      <w:r w:rsidR="002608B2" w:rsidRPr="00104E94">
        <w:t>that</w:t>
      </w:r>
      <w:r w:rsidRPr="00104E94">
        <w:t xml:space="preserve"> permit the qualified custodian to rely upon instructions from the Registrant to transfer client funds to “third parties.” These arrangements are also reflected at ADV Part 1, Item 9, but in accordance with the guidance provided in the SEC’s February 21, 2017 Investment Adviser Association No-Action Letter, the affected accounts </w:t>
      </w:r>
      <w:r w:rsidRPr="00104E94">
        <w:rPr>
          <w:bCs/>
        </w:rPr>
        <w:t>are not</w:t>
      </w:r>
      <w:r w:rsidRPr="00104E94">
        <w:t xml:space="preserve"> subject to an annual surprise CPA examination.</w:t>
      </w:r>
      <w:r w:rsidR="009D48EA" w:rsidRPr="00104E94">
        <w:t xml:space="preserve"> </w:t>
      </w:r>
    </w:p>
    <w:p w14:paraId="6F95560D" w14:textId="77777777" w:rsidR="00BF0DEC" w:rsidRDefault="00BF0DEC" w:rsidP="0098617C">
      <w:pPr>
        <w:ind w:left="720" w:right="720"/>
        <w:jc w:val="both"/>
      </w:pPr>
    </w:p>
    <w:p w14:paraId="055A4959" w14:textId="77777777" w:rsidR="00BF0DEC" w:rsidRDefault="00BF0DEC" w:rsidP="0098617C">
      <w:pPr>
        <w:ind w:left="720" w:right="720"/>
        <w:jc w:val="both"/>
        <w:rPr>
          <w:color w:val="C00000"/>
        </w:rPr>
      </w:pPr>
      <w:r w:rsidRPr="00F66E56">
        <w:t xml:space="preserve">In addition, </w:t>
      </w:r>
      <w:r>
        <w:t xml:space="preserve">Registrant </w:t>
      </w:r>
      <w:r w:rsidRPr="00F66E56">
        <w:rPr>
          <w:color w:val="000000" w:themeColor="text1"/>
        </w:rPr>
        <w:t xml:space="preserve">and/or certain of its members engage in other services and/or practices (i.e., bill paying, password possession, trustee service, etc.) requiring disclosure at Item 9 of Part 1 of Form ADV. These services and practices result in </w:t>
      </w:r>
      <w:r>
        <w:rPr>
          <w:color w:val="000000" w:themeColor="text1"/>
        </w:rPr>
        <w:t xml:space="preserve">Registrant </w:t>
      </w:r>
      <w:r w:rsidRPr="00F66E56">
        <w:rPr>
          <w:color w:val="000000" w:themeColor="text1"/>
        </w:rPr>
        <w:t xml:space="preserve">having custody under Rule 206(4)-2 of the Advisers Act. Per the Rule, having such custody requires </w:t>
      </w:r>
      <w:r>
        <w:rPr>
          <w:color w:val="000000" w:themeColor="text1"/>
        </w:rPr>
        <w:t xml:space="preserve">Registrant </w:t>
      </w:r>
      <w:r w:rsidRPr="00F66E56">
        <w:rPr>
          <w:color w:val="000000" w:themeColor="text1"/>
        </w:rPr>
        <w:t xml:space="preserve">to undergo an annual surprise CPA examination, and make a corresponding Form ADV-E filing with the SEC, for as long as </w:t>
      </w:r>
      <w:r>
        <w:rPr>
          <w:color w:val="000000" w:themeColor="text1"/>
        </w:rPr>
        <w:t xml:space="preserve">Registrant </w:t>
      </w:r>
      <w:r w:rsidRPr="00F66E56">
        <w:rPr>
          <w:color w:val="000000" w:themeColor="text1"/>
        </w:rPr>
        <w:t>provides such services and/or engages in such practices.</w:t>
      </w:r>
      <w:r w:rsidRPr="00F66E56">
        <w:rPr>
          <w:color w:val="C00000"/>
        </w:rPr>
        <w:t xml:space="preserve"> </w:t>
      </w:r>
    </w:p>
    <w:p w14:paraId="60CE1443" w14:textId="77777777" w:rsidR="00BF0DEC" w:rsidRDefault="00BF0DEC" w:rsidP="0098617C">
      <w:pPr>
        <w:ind w:left="720" w:right="720"/>
        <w:jc w:val="both"/>
        <w:rPr>
          <w:color w:val="C00000"/>
        </w:rPr>
      </w:pPr>
    </w:p>
    <w:p w14:paraId="5A9C20D6" w14:textId="01E34607" w:rsidR="0098617C" w:rsidRPr="00F66E56" w:rsidRDefault="0098617C" w:rsidP="0098617C">
      <w:pPr>
        <w:ind w:left="720" w:right="720"/>
        <w:jc w:val="both"/>
      </w:pPr>
      <w:r w:rsidRPr="0098617C">
        <w:rPr>
          <w:rStyle w:val="Strong"/>
          <w:b w:val="0"/>
          <w:bCs w:val="0"/>
          <w:u w:val="single"/>
        </w:rPr>
        <w:t>ANY QUESTIONS</w:t>
      </w:r>
      <w:r w:rsidRPr="0098617C">
        <w:rPr>
          <w:rStyle w:val="Strong"/>
          <w:b w:val="0"/>
          <w:bCs w:val="0"/>
        </w:rPr>
        <w:t xml:space="preserve">: </w:t>
      </w:r>
      <w:r w:rsidRPr="0098617C">
        <w:rPr>
          <w:rStyle w:val="Strong"/>
          <w:b w:val="0"/>
          <w:bCs w:val="0"/>
          <w:u w:val="single"/>
        </w:rPr>
        <w:t>Registrant’s Chief Compliance Officer</w:t>
      </w:r>
      <w:r w:rsidRPr="0098617C">
        <w:rPr>
          <w:b/>
          <w:bCs/>
          <w:u w:val="single"/>
        </w:rPr>
        <w:t xml:space="preserve">, </w:t>
      </w:r>
      <w:r w:rsidR="00D82D6D" w:rsidRPr="00D82D6D">
        <w:rPr>
          <w:u w:val="single"/>
        </w:rPr>
        <w:t>Richard Cavanagh</w:t>
      </w:r>
      <w:r w:rsidRPr="0098617C">
        <w:rPr>
          <w:b/>
          <w:bCs/>
          <w:u w:val="single"/>
        </w:rPr>
        <w:t>,</w:t>
      </w:r>
      <w:r w:rsidRPr="0098617C">
        <w:rPr>
          <w:rStyle w:val="Strong"/>
          <w:b w:val="0"/>
          <w:bCs w:val="0"/>
          <w:u w:val="single"/>
        </w:rPr>
        <w:t xml:space="preserve"> remains available to address any questions that a client or prospective client may have regarding custody-related issues</w:t>
      </w:r>
      <w:r w:rsidRPr="0098617C">
        <w:rPr>
          <w:b/>
          <w:bCs/>
        </w:rPr>
        <w:t>.</w:t>
      </w:r>
    </w:p>
    <w:p w14:paraId="05B2D450" w14:textId="32A493C0" w:rsidR="00E5066F" w:rsidRPr="00104E94" w:rsidRDefault="00E5066F" w:rsidP="00E5066F">
      <w:pPr>
        <w:ind w:left="720" w:right="780"/>
        <w:jc w:val="both"/>
      </w:pPr>
    </w:p>
    <w:p w14:paraId="3887AA59" w14:textId="7C235A5A" w:rsidR="00473B1D" w:rsidRPr="00104E94" w:rsidRDefault="00473B1D" w:rsidP="00C26989">
      <w:pPr>
        <w:pStyle w:val="Heading1"/>
        <w:spacing w:before="0"/>
      </w:pPr>
      <w:bookmarkStart w:id="47" w:name="_Toc130818870"/>
      <w:r w:rsidRPr="00104E94">
        <w:t>Item 16</w:t>
      </w:r>
      <w:r w:rsidRPr="00104E94">
        <w:tab/>
        <w:t>Investment Discretion</w:t>
      </w:r>
      <w:bookmarkEnd w:id="45"/>
      <w:bookmarkEnd w:id="46"/>
      <w:bookmarkEnd w:id="47"/>
    </w:p>
    <w:p w14:paraId="479EF565" w14:textId="77777777" w:rsidR="00F4298C" w:rsidRPr="00104E94" w:rsidRDefault="00F4298C"/>
    <w:p w14:paraId="3838EE19" w14:textId="3B9C022A" w:rsidR="00473B1D" w:rsidRPr="00104E94" w:rsidRDefault="00473B1D" w:rsidP="00E5066F">
      <w:pPr>
        <w:ind w:left="720" w:right="720"/>
        <w:jc w:val="both"/>
      </w:pPr>
      <w:r w:rsidRPr="00104E94">
        <w:t xml:space="preserve">The client can determine to engage the Registrant to provide investment advisory services on a discretionary basis. </w:t>
      </w:r>
      <w:r w:rsidR="00330DE2">
        <w:t>Before the Registrant assumes</w:t>
      </w:r>
      <w:r w:rsidRPr="00104E94">
        <w:t xml:space="preserve"> discretionary authority over a client</w:t>
      </w:r>
      <w:r w:rsidR="00690BEA" w:rsidRPr="00104E94">
        <w:t>’</w:t>
      </w:r>
      <w:r w:rsidRPr="00104E94">
        <w:t xml:space="preserve">s account, </w:t>
      </w:r>
      <w:r w:rsidR="00BE715D" w:rsidRPr="00104E94">
        <w:t xml:space="preserve">the </w:t>
      </w:r>
      <w:r w:rsidRPr="00104E94">
        <w:t xml:space="preserve">client </w:t>
      </w:r>
      <w:r w:rsidR="00330DE2">
        <w:t xml:space="preserve">is </w:t>
      </w:r>
      <w:r w:rsidRPr="00104E94">
        <w:t xml:space="preserve">required to execute </w:t>
      </w:r>
      <w:r w:rsidR="00BE715D" w:rsidRPr="00104E94">
        <w:t xml:space="preserve">an </w:t>
      </w:r>
      <w:r w:rsidRPr="00104E94">
        <w:rPr>
          <w:iCs/>
        </w:rPr>
        <w:t>Investment Advisory Agreement</w:t>
      </w:r>
      <w:r w:rsidRPr="00104E94">
        <w:t xml:space="preserve">, granting the Registrant full authority to buy, sell, or otherwise </w:t>
      </w:r>
      <w:r w:rsidR="00451770">
        <w:t>execute</w:t>
      </w:r>
      <w:r w:rsidRPr="00104E94">
        <w:t xml:space="preserve"> investment transactions involving the assets in the client</w:t>
      </w:r>
      <w:r w:rsidR="00690BEA" w:rsidRPr="00104E94">
        <w:t>’</w:t>
      </w:r>
      <w:r w:rsidRPr="00104E94">
        <w:t xml:space="preserve">s name </w:t>
      </w:r>
      <w:r w:rsidR="00330DE2">
        <w:t>for</w:t>
      </w:r>
      <w:r w:rsidRPr="00104E94">
        <w:t xml:space="preserve"> the discretionary account. </w:t>
      </w:r>
    </w:p>
    <w:p w14:paraId="7B12F6B7" w14:textId="77777777" w:rsidR="0071722D" w:rsidRPr="00104E94" w:rsidRDefault="0071722D" w:rsidP="00E5066F">
      <w:pPr>
        <w:ind w:left="720" w:right="720"/>
        <w:jc w:val="both"/>
      </w:pPr>
    </w:p>
    <w:p w14:paraId="250BE590" w14:textId="5DF8CBC9" w:rsidR="008F5FD4" w:rsidRDefault="00473B1D" w:rsidP="00330DE2">
      <w:pPr>
        <w:ind w:left="720" w:right="720"/>
        <w:jc w:val="both"/>
      </w:pPr>
      <w:r w:rsidRPr="00104E94">
        <w:t xml:space="preserve">Clients who engage the Registrant on a discretionary basis may, at </w:t>
      </w:r>
      <w:r w:rsidR="0071722D" w:rsidRPr="00104E94">
        <w:t>any time</w:t>
      </w:r>
      <w:r w:rsidRPr="00104E94">
        <w:t xml:space="preserve">, impose </w:t>
      </w:r>
      <w:r w:rsidRPr="007D46CA">
        <w:t xml:space="preserve">restrictions, </w:t>
      </w:r>
      <w:r w:rsidRPr="007D46CA">
        <w:rPr>
          <w:bCs/>
          <w:u w:val="single"/>
        </w:rPr>
        <w:t>in writing</w:t>
      </w:r>
      <w:r w:rsidRPr="00104E94">
        <w:t>, on the Registrant</w:t>
      </w:r>
      <w:r w:rsidR="00690BEA" w:rsidRPr="00104E94">
        <w:t>’</w:t>
      </w:r>
      <w:r w:rsidRPr="00104E94">
        <w:t>s discretionary authority. (</w:t>
      </w:r>
      <w:r w:rsidR="00330DE2">
        <w:t>e.g</w:t>
      </w:r>
      <w:r w:rsidRPr="00104E94">
        <w:t>.</w:t>
      </w:r>
      <w:r w:rsidR="00B01438">
        <w:t>,</w:t>
      </w:r>
      <w:r w:rsidRPr="00104E94">
        <w:t xml:space="preserve"> limit the types/amounts of </w:t>
      </w:r>
      <w:r w:rsidR="00932FAC">
        <w:t>specific</w:t>
      </w:r>
      <w:r w:rsidR="00932FAC" w:rsidRPr="00104E94">
        <w:t xml:space="preserve"> </w:t>
      </w:r>
      <w:r w:rsidRPr="00104E94">
        <w:t>securities purchased for their account, exclude the ability to purchase securities with an inverse relationship to the market, limit or proscribe the Registrant</w:t>
      </w:r>
      <w:r w:rsidR="00690BEA" w:rsidRPr="00104E94">
        <w:t>’</w:t>
      </w:r>
      <w:r w:rsidRPr="00104E94">
        <w:t xml:space="preserve">s use of margin, </w:t>
      </w:r>
      <w:r w:rsidR="006C063B" w:rsidRPr="00104E94">
        <w:t>etc</w:t>
      </w:r>
      <w:r w:rsidR="006931AA" w:rsidRPr="00104E94">
        <w:t>.</w:t>
      </w:r>
      <w:r w:rsidRPr="00104E94">
        <w:t xml:space="preserve">). </w:t>
      </w:r>
      <w:bookmarkStart w:id="48" w:name="_Toc273621967"/>
      <w:bookmarkStart w:id="49" w:name="_Toc351646185"/>
    </w:p>
    <w:p w14:paraId="0D3347C5" w14:textId="77777777" w:rsidR="00932FAC" w:rsidRDefault="00932FAC" w:rsidP="00330DE2">
      <w:pPr>
        <w:ind w:left="720" w:right="720"/>
        <w:jc w:val="both"/>
      </w:pPr>
    </w:p>
    <w:p w14:paraId="3635ADEC" w14:textId="77777777" w:rsidR="00932FAC" w:rsidRPr="00330DE2" w:rsidRDefault="00932FAC" w:rsidP="00330DE2">
      <w:pPr>
        <w:ind w:left="720" w:right="720"/>
        <w:jc w:val="both"/>
      </w:pPr>
    </w:p>
    <w:p w14:paraId="54729496" w14:textId="77777777" w:rsidR="00473B1D" w:rsidRPr="00104E94" w:rsidRDefault="00473B1D">
      <w:pPr>
        <w:pStyle w:val="Heading1"/>
      </w:pPr>
      <w:bookmarkStart w:id="50" w:name="_Toc130818871"/>
      <w:r w:rsidRPr="00104E94">
        <w:lastRenderedPageBreak/>
        <w:t>Item 17</w:t>
      </w:r>
      <w:r w:rsidRPr="00104E94">
        <w:tab/>
        <w:t>Voting Client Securities</w:t>
      </w:r>
      <w:bookmarkEnd w:id="48"/>
      <w:bookmarkEnd w:id="49"/>
      <w:bookmarkEnd w:id="50"/>
    </w:p>
    <w:p w14:paraId="4ABB1F13" w14:textId="77777777" w:rsidR="00473B1D" w:rsidRPr="00104E94" w:rsidRDefault="00473B1D"/>
    <w:p w14:paraId="07A3FAEA" w14:textId="01C7BA9C" w:rsidR="00C57724" w:rsidRDefault="00F4298C" w:rsidP="008F5FD4">
      <w:pPr>
        <w:ind w:left="720" w:right="720"/>
        <w:jc w:val="both"/>
      </w:pPr>
      <w:r w:rsidRPr="00104E94">
        <w:t xml:space="preserve">Unless a client directs otherwise, in writing, the Registrant, in conjunction with the services provided by </w:t>
      </w:r>
      <w:proofErr w:type="spellStart"/>
      <w:r w:rsidRPr="00104E94">
        <w:t>ProxyEdge</w:t>
      </w:r>
      <w:proofErr w:type="spellEnd"/>
      <w:r w:rsidRPr="00104E94">
        <w:t xml:space="preserve">, </w:t>
      </w:r>
      <w:r w:rsidR="00671CA2" w:rsidRPr="00104E94">
        <w:t xml:space="preserve">an unaffiliated proxy voting service provider, </w:t>
      </w:r>
      <w:r w:rsidRPr="00104E94">
        <w:t xml:space="preserve">shall be responsible for: (1) directing the manner in which proxies solicited by issuers of securities beneficially owned by the client shall be voted, and (2) making all elections relative to any mergers, </w:t>
      </w:r>
      <w:r w:rsidRPr="00BF01A2">
        <w:t>acquisitions, tender offers, bankruptcy proceedings or other type eve</w:t>
      </w:r>
      <w:r w:rsidR="001F2318" w:rsidRPr="00BF01A2">
        <w:t xml:space="preserve">nts pertaining to the assets. </w:t>
      </w:r>
      <w:r w:rsidR="00BF0DEC" w:rsidRPr="00BF01A2">
        <w:t>However, the client shall maintain exclusive responsibility for all legal proceedings or other type events pertaining to the assets, including, but not limited to, class action lawsuit</w:t>
      </w:r>
      <w:r w:rsidR="00BF01A2" w:rsidRPr="00BF01A2">
        <w:t xml:space="preserve">. </w:t>
      </w:r>
      <w:r w:rsidRPr="00BF01A2">
        <w:t>The Registrant and/or the client shall correspondingly instruct each custodian of the assets to forward to the Registrant copies of all proxies and shareholder communications</w:t>
      </w:r>
      <w:r w:rsidRPr="00104E94">
        <w:t xml:space="preserve"> relating to the assets</w:t>
      </w:r>
      <w:r w:rsidR="00AC7F33" w:rsidRPr="00104E94">
        <w:t xml:space="preserve">. </w:t>
      </w:r>
      <w:r w:rsidRPr="00104E94">
        <w:t xml:space="preserve">The Registrant, in conjunction with the services provided by </w:t>
      </w:r>
      <w:proofErr w:type="spellStart"/>
      <w:r w:rsidRPr="00104E94">
        <w:t>ProxyEdge</w:t>
      </w:r>
      <w:proofErr w:type="spellEnd"/>
      <w:r w:rsidRPr="00104E94">
        <w:t>, shall monitor corporate actions of individual issuers and investment companies consistent with the Registrant</w:t>
      </w:r>
      <w:r w:rsidR="00690BEA" w:rsidRPr="00104E94">
        <w:t>’</w:t>
      </w:r>
      <w:r w:rsidRPr="00104E94">
        <w:t>s fiduciary duty to vote proxies in the best interests of its clients</w:t>
      </w:r>
      <w:r w:rsidR="00AC7F33" w:rsidRPr="00104E94">
        <w:t xml:space="preserve">. </w:t>
      </w:r>
      <w:r w:rsidRPr="00104E94">
        <w:t>With respect to individual issuers, the Registrant may be solicited to vote on matters including corporate governance, adoption or amendments to compensation plans (including stock options), and matters involving social issues and corporate responsibility. With respect to investment companies (e.g., mutual funds), the Registrant may be solicited to vote on matters including the approval of advisory contracts, distribution plans, and mergers</w:t>
      </w:r>
      <w:r w:rsidR="00AC7F33" w:rsidRPr="00104E94">
        <w:t xml:space="preserve">. </w:t>
      </w:r>
      <w:r w:rsidRPr="00104E94">
        <w:t>The Registrant shall maintain records pertaining to proxy voting as required pursuant to Rule 204-2 (c)(2) under the Advisers Act</w:t>
      </w:r>
      <w:r w:rsidR="00AC7F33" w:rsidRPr="00104E94">
        <w:t xml:space="preserve">. </w:t>
      </w:r>
      <w:r w:rsidRPr="00104E94">
        <w:t>Copies of Rules 206(4)-6 and 204-2(c)(2) are available upon written request. In addition, information pertaining to how the Registrant voted on any specific proxy issue is also available upon written request</w:t>
      </w:r>
      <w:r w:rsidR="006C063B" w:rsidRPr="00104E94">
        <w:t>.</w:t>
      </w:r>
      <w:bookmarkStart w:id="51" w:name="_Toc273621968"/>
      <w:bookmarkStart w:id="52" w:name="_Toc351646186"/>
    </w:p>
    <w:p w14:paraId="66F3F889" w14:textId="2AB9D34A" w:rsidR="000525A5" w:rsidRDefault="000525A5" w:rsidP="008F5FD4">
      <w:pPr>
        <w:ind w:left="720" w:right="720"/>
        <w:jc w:val="both"/>
      </w:pPr>
    </w:p>
    <w:p w14:paraId="35EB7FF8" w14:textId="6AA16D4D" w:rsidR="000525A5" w:rsidRPr="008F5FD4" w:rsidRDefault="000525A5" w:rsidP="008F5FD4">
      <w:pPr>
        <w:ind w:left="720" w:right="720"/>
        <w:jc w:val="both"/>
      </w:pPr>
      <w:r w:rsidRPr="00677549">
        <w:rPr>
          <w:u w:val="single"/>
        </w:rPr>
        <w:t>Class Actions</w:t>
      </w:r>
      <w:r>
        <w:t>.</w:t>
      </w:r>
      <w:r w:rsidRPr="000525A5">
        <w:t xml:space="preserve"> The client shall maintain exclusive responsibility for all legal proceedings or other type events pertaining to the assets managed by Registrant, including, but not limited to, class action lawsuits.</w:t>
      </w:r>
    </w:p>
    <w:p w14:paraId="38DDA2C6" w14:textId="77777777" w:rsidR="00473B1D" w:rsidRPr="00104E94" w:rsidRDefault="00473B1D">
      <w:pPr>
        <w:pStyle w:val="Heading1"/>
      </w:pPr>
      <w:bookmarkStart w:id="53" w:name="_Toc130818872"/>
      <w:r w:rsidRPr="00104E94">
        <w:t>Item 18</w:t>
      </w:r>
      <w:r w:rsidRPr="00104E94">
        <w:tab/>
        <w:t>Financial Information</w:t>
      </w:r>
      <w:bookmarkEnd w:id="51"/>
      <w:bookmarkEnd w:id="52"/>
      <w:bookmarkEnd w:id="53"/>
    </w:p>
    <w:p w14:paraId="29BA4F83" w14:textId="77777777" w:rsidR="00473B1D" w:rsidRPr="00104E94" w:rsidRDefault="00473B1D"/>
    <w:p w14:paraId="6B89164D" w14:textId="77777777" w:rsidR="007909B5" w:rsidRPr="00104E94" w:rsidRDefault="007909B5" w:rsidP="007909B5">
      <w:pPr>
        <w:numPr>
          <w:ilvl w:val="0"/>
          <w:numId w:val="16"/>
        </w:numPr>
      </w:pPr>
      <w:r w:rsidRPr="00104E94">
        <w:t>The Registrant does not solicit fees of more than $1,200, per client, six months or more in advance.</w:t>
      </w:r>
    </w:p>
    <w:p w14:paraId="05296D48" w14:textId="77777777" w:rsidR="007909B5" w:rsidRPr="00104E94" w:rsidRDefault="007909B5" w:rsidP="007909B5">
      <w:pPr>
        <w:ind w:left="330"/>
      </w:pPr>
      <w:r w:rsidRPr="00104E94">
        <w:t xml:space="preserve"> </w:t>
      </w:r>
    </w:p>
    <w:p w14:paraId="21520673" w14:textId="77777777" w:rsidR="007909B5" w:rsidRPr="00104E94" w:rsidRDefault="007909B5" w:rsidP="007909B5">
      <w:pPr>
        <w:numPr>
          <w:ilvl w:val="0"/>
          <w:numId w:val="16"/>
        </w:numPr>
        <w:ind w:right="720"/>
        <w:jc w:val="both"/>
      </w:pPr>
      <w:r w:rsidRPr="00104E94">
        <w:t xml:space="preserve">The Registrant is unaware of any financial condition that is reasonably likely to impair its ability to meet its contractual commitments relating to its discretionary authority over certain client accounts. </w:t>
      </w:r>
    </w:p>
    <w:p w14:paraId="62CE3275" w14:textId="77777777" w:rsidR="00C479AD" w:rsidRPr="00104E94" w:rsidRDefault="00C479AD"/>
    <w:p w14:paraId="3D3B4C18" w14:textId="172180C1" w:rsidR="00C57724" w:rsidRPr="00330DE2" w:rsidRDefault="007909B5" w:rsidP="00330DE2">
      <w:pPr>
        <w:numPr>
          <w:ilvl w:val="0"/>
          <w:numId w:val="16"/>
        </w:numPr>
        <w:ind w:right="780"/>
        <w:jc w:val="both"/>
      </w:pPr>
      <w:r w:rsidRPr="00104E94">
        <w:t xml:space="preserve">The Registrant has not been the subject of a bankruptcy petition. </w:t>
      </w:r>
    </w:p>
    <w:p w14:paraId="26E2FC47" w14:textId="3743E108" w:rsidR="00C57724" w:rsidRDefault="00C57724" w:rsidP="004523DF">
      <w:pPr>
        <w:autoSpaceDE w:val="0"/>
        <w:autoSpaceDN w:val="0"/>
        <w:adjustRightInd w:val="0"/>
        <w:ind w:right="720"/>
        <w:jc w:val="both"/>
        <w:rPr>
          <w:bCs/>
          <w:sz w:val="24"/>
          <w:szCs w:val="16"/>
          <w:u w:val="single"/>
        </w:rPr>
      </w:pPr>
    </w:p>
    <w:p w14:paraId="421CBC69" w14:textId="6374CD14" w:rsidR="00330DE2" w:rsidRDefault="00330DE2" w:rsidP="004523DF">
      <w:pPr>
        <w:autoSpaceDE w:val="0"/>
        <w:autoSpaceDN w:val="0"/>
        <w:adjustRightInd w:val="0"/>
        <w:ind w:right="720"/>
        <w:jc w:val="both"/>
        <w:rPr>
          <w:bCs/>
          <w:sz w:val="24"/>
          <w:szCs w:val="16"/>
          <w:u w:val="single"/>
        </w:rPr>
      </w:pPr>
    </w:p>
    <w:p w14:paraId="12EC564E" w14:textId="0FB7A03E" w:rsidR="00330DE2" w:rsidRDefault="00330DE2" w:rsidP="004523DF">
      <w:pPr>
        <w:autoSpaceDE w:val="0"/>
        <w:autoSpaceDN w:val="0"/>
        <w:adjustRightInd w:val="0"/>
        <w:ind w:right="720"/>
        <w:jc w:val="both"/>
        <w:rPr>
          <w:bCs/>
          <w:sz w:val="24"/>
          <w:szCs w:val="16"/>
          <w:u w:val="single"/>
        </w:rPr>
      </w:pPr>
    </w:p>
    <w:p w14:paraId="6CF4F52D" w14:textId="6FF7E170" w:rsidR="00473B1D" w:rsidRPr="00F64F37" w:rsidRDefault="00330DE2" w:rsidP="004523DF">
      <w:pPr>
        <w:autoSpaceDE w:val="0"/>
        <w:autoSpaceDN w:val="0"/>
        <w:adjustRightInd w:val="0"/>
        <w:ind w:right="720"/>
        <w:jc w:val="both"/>
      </w:pPr>
      <w:r w:rsidRPr="00F64F37">
        <w:rPr>
          <w:bCs/>
          <w:sz w:val="24"/>
          <w:szCs w:val="16"/>
          <w:u w:val="single"/>
        </w:rPr>
        <w:t>ANY QUESTIONS</w:t>
      </w:r>
      <w:r w:rsidRPr="00F64F37">
        <w:rPr>
          <w:sz w:val="24"/>
          <w:szCs w:val="16"/>
        </w:rPr>
        <w:t xml:space="preserve">: </w:t>
      </w:r>
      <w:r w:rsidRPr="00F64F37">
        <w:rPr>
          <w:bCs/>
          <w:u w:val="single"/>
        </w:rPr>
        <w:t xml:space="preserve">The Registrant’s Chief Compliance Officer, </w:t>
      </w:r>
      <w:r w:rsidR="00D82D6D" w:rsidRPr="00D82D6D">
        <w:rPr>
          <w:bCs/>
          <w:u w:val="single"/>
        </w:rPr>
        <w:t>Richard Cavanagh</w:t>
      </w:r>
      <w:r w:rsidRPr="00F64F37">
        <w:rPr>
          <w:bCs/>
          <w:u w:val="single"/>
        </w:rPr>
        <w:t xml:space="preserve">, remains available to address any questions </w:t>
      </w:r>
      <w:r>
        <w:rPr>
          <w:bCs/>
          <w:u w:val="single"/>
        </w:rPr>
        <w:t>about</w:t>
      </w:r>
      <w:r w:rsidRPr="00F64F37">
        <w:rPr>
          <w:bCs/>
          <w:u w:val="single"/>
        </w:rPr>
        <w:t xml:space="preserve"> the above disclosures and arrangements.</w:t>
      </w:r>
    </w:p>
    <w:sectPr w:rsidR="00473B1D" w:rsidRPr="00F64F37" w:rsidSect="00DF1F7F">
      <w:pgSz w:w="12240" w:h="15840" w:code="1"/>
      <w:pgMar w:top="1440" w:right="1440" w:bottom="1440" w:left="1440" w:header="720" w:footer="540" w:gutter="0"/>
      <w:pgBorders w:offsetFrom="page">
        <w:top w:val="thinThickLargeGap" w:sz="24" w:space="24" w:color="BFB599"/>
        <w:left w:val="thinThickLargeGap" w:sz="24" w:space="24" w:color="BFB599"/>
        <w:bottom w:val="thickThinLargeGap" w:sz="24" w:space="24" w:color="BFB599"/>
        <w:right w:val="thickThinLargeGap" w:sz="24" w:space="24" w:color="BFB5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CEBA" w14:textId="77777777" w:rsidR="00CA22FC" w:rsidRDefault="00CA22FC">
      <w:r>
        <w:separator/>
      </w:r>
    </w:p>
  </w:endnote>
  <w:endnote w:type="continuationSeparator" w:id="0">
    <w:p w14:paraId="67B1D098" w14:textId="77777777" w:rsidR="00CA22FC" w:rsidRDefault="00CA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7EA" w14:textId="77777777" w:rsidR="00CA22FC" w:rsidRDefault="00CA22FC">
    <w:pPr>
      <w:pStyle w:val="Footer"/>
      <w:jc w:val="center"/>
    </w:pPr>
    <w:r>
      <w:fldChar w:fldCharType="begin"/>
    </w:r>
    <w:r>
      <w:instrText xml:space="preserve"> PAGE   \* MERGEFORMAT </w:instrText>
    </w:r>
    <w:r>
      <w:fldChar w:fldCharType="separate"/>
    </w:r>
    <w:r w:rsidR="00820679">
      <w:rPr>
        <w:noProof/>
      </w:rPr>
      <w:t>2</w:t>
    </w:r>
    <w:r>
      <w:rPr>
        <w:noProof/>
      </w:rPr>
      <w:fldChar w:fldCharType="end"/>
    </w:r>
  </w:p>
  <w:p w14:paraId="0AEB5867" w14:textId="13906620" w:rsidR="00C27894" w:rsidRDefault="00C27894" w:rsidP="00C26989">
    <w:pPr>
      <w:pStyle w:val="Footer"/>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A0D5" w14:textId="77777777" w:rsidR="00CA22FC" w:rsidRDefault="00CA22FC">
      <w:r>
        <w:separator/>
      </w:r>
    </w:p>
  </w:footnote>
  <w:footnote w:type="continuationSeparator" w:id="0">
    <w:p w14:paraId="6AA45447" w14:textId="77777777" w:rsidR="00CA22FC" w:rsidRDefault="00CA2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53D"/>
    <w:multiLevelType w:val="hybridMultilevel"/>
    <w:tmpl w:val="F864B588"/>
    <w:lvl w:ilvl="0" w:tplc="C5C6CC4C">
      <w:start w:val="1"/>
      <w:numFmt w:val="decimal"/>
      <w:lvlText w:val="%1."/>
      <w:lvlJc w:val="left"/>
      <w:pPr>
        <w:ind w:left="1050" w:hanging="360"/>
      </w:pPr>
      <w:rPr>
        <w:rFonts w:hint="default"/>
      </w:rPr>
    </w:lvl>
    <w:lvl w:ilvl="1" w:tplc="04090015">
      <w:start w:val="1"/>
      <w:numFmt w:val="upp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081C4CB4"/>
    <w:multiLevelType w:val="hybridMultilevel"/>
    <w:tmpl w:val="E43696B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E6205"/>
    <w:multiLevelType w:val="hybridMultilevel"/>
    <w:tmpl w:val="DE7CE0EC"/>
    <w:lvl w:ilvl="0" w:tplc="0409000F">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 w15:restartNumberingAfterBreak="0">
    <w:nsid w:val="1209136E"/>
    <w:multiLevelType w:val="hybridMultilevel"/>
    <w:tmpl w:val="A76EBCB8"/>
    <w:lvl w:ilvl="0" w:tplc="90B29BA8">
      <w:start w:val="1"/>
      <w:numFmt w:val="upperLetter"/>
      <w:lvlText w:val="%1."/>
      <w:lvlJc w:val="left"/>
      <w:pPr>
        <w:ind w:left="720" w:hanging="360"/>
      </w:pPr>
      <w:rPr>
        <w:rFonts w:ascii="Times New Roman" w:hAnsi="Times New Roman" w:hint="default"/>
        <w:b w:val="0"/>
        <w:bCs w:val="0"/>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4" w15:restartNumberingAfterBreak="0">
    <w:nsid w:val="190F7E89"/>
    <w:multiLevelType w:val="hybridMultilevel"/>
    <w:tmpl w:val="BCF6C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5913"/>
    <w:multiLevelType w:val="hybridMultilevel"/>
    <w:tmpl w:val="37EA5F7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 w15:restartNumberingAfterBreak="0">
    <w:nsid w:val="23D012F3"/>
    <w:multiLevelType w:val="hybridMultilevel"/>
    <w:tmpl w:val="5826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606A0"/>
    <w:multiLevelType w:val="hybridMultilevel"/>
    <w:tmpl w:val="E3B65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7587F"/>
    <w:multiLevelType w:val="hybridMultilevel"/>
    <w:tmpl w:val="2624AF0E"/>
    <w:lvl w:ilvl="0" w:tplc="CB565562">
      <w:start w:val="1"/>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9" w15:restartNumberingAfterBreak="0">
    <w:nsid w:val="2E4B3234"/>
    <w:multiLevelType w:val="hybridMultilevel"/>
    <w:tmpl w:val="958CC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253D1"/>
    <w:multiLevelType w:val="hybridMultilevel"/>
    <w:tmpl w:val="44DE6C48"/>
    <w:lvl w:ilvl="0" w:tplc="D1E49D62">
      <w:start w:val="1"/>
      <w:numFmt w:val="upperLetter"/>
      <w:lvlText w:val="%1."/>
      <w:lvlJc w:val="left"/>
      <w:pPr>
        <w:ind w:left="720" w:hanging="360"/>
      </w:pPr>
      <w:rPr>
        <w:rFonts w:ascii="Times New Roman" w:hAnsi="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65D7F"/>
    <w:multiLevelType w:val="hybridMultilevel"/>
    <w:tmpl w:val="8C2C1F9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2724F4"/>
    <w:multiLevelType w:val="hybridMultilevel"/>
    <w:tmpl w:val="D1369672"/>
    <w:lvl w:ilvl="0" w:tplc="75E8A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3C5E21"/>
    <w:multiLevelType w:val="hybridMultilevel"/>
    <w:tmpl w:val="35AC6582"/>
    <w:lvl w:ilvl="0" w:tplc="84400F1E">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07416"/>
    <w:multiLevelType w:val="hybridMultilevel"/>
    <w:tmpl w:val="C5A6FBEC"/>
    <w:lvl w:ilvl="0" w:tplc="3BDAA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BE25AD"/>
    <w:multiLevelType w:val="hybridMultilevel"/>
    <w:tmpl w:val="C2A61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30593"/>
    <w:multiLevelType w:val="hybridMultilevel"/>
    <w:tmpl w:val="283C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71958"/>
    <w:multiLevelType w:val="hybridMultilevel"/>
    <w:tmpl w:val="79AAEFFE"/>
    <w:lvl w:ilvl="0" w:tplc="F5320524">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9D4282E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450EA"/>
    <w:multiLevelType w:val="hybridMultilevel"/>
    <w:tmpl w:val="B22273DC"/>
    <w:lvl w:ilvl="0" w:tplc="D1E49D62">
      <w:start w:val="1"/>
      <w:numFmt w:val="upperLetter"/>
      <w:lvlText w:val="%1."/>
      <w:lvlJc w:val="left"/>
      <w:pPr>
        <w:ind w:left="720" w:hanging="360"/>
      </w:pPr>
      <w:rPr>
        <w:rFonts w:ascii="Times New Roman" w:hAnsi="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431AB"/>
    <w:multiLevelType w:val="hybridMultilevel"/>
    <w:tmpl w:val="633E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23001"/>
    <w:multiLevelType w:val="hybridMultilevel"/>
    <w:tmpl w:val="E8EA01FA"/>
    <w:lvl w:ilvl="0" w:tplc="62B06E2E">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C230682"/>
    <w:multiLevelType w:val="hybridMultilevel"/>
    <w:tmpl w:val="19D07F3C"/>
    <w:lvl w:ilvl="0" w:tplc="F69C59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54E75"/>
    <w:multiLevelType w:val="hybridMultilevel"/>
    <w:tmpl w:val="27E86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F7554"/>
    <w:multiLevelType w:val="hybridMultilevel"/>
    <w:tmpl w:val="E8161846"/>
    <w:lvl w:ilvl="0" w:tplc="9AE843A6">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D2126"/>
    <w:multiLevelType w:val="hybridMultilevel"/>
    <w:tmpl w:val="75D02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91EA7"/>
    <w:multiLevelType w:val="hybridMultilevel"/>
    <w:tmpl w:val="998AD230"/>
    <w:lvl w:ilvl="0" w:tplc="0EEA7FFC">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B32D6"/>
    <w:multiLevelType w:val="hybridMultilevel"/>
    <w:tmpl w:val="32BA6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E84169"/>
    <w:multiLevelType w:val="hybridMultilevel"/>
    <w:tmpl w:val="E6DE6CD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63B42"/>
    <w:multiLevelType w:val="hybridMultilevel"/>
    <w:tmpl w:val="60F4E7E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342C99"/>
    <w:multiLevelType w:val="hybridMultilevel"/>
    <w:tmpl w:val="3E4A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80911"/>
    <w:multiLevelType w:val="hybridMultilevel"/>
    <w:tmpl w:val="86B2C304"/>
    <w:lvl w:ilvl="0" w:tplc="0409000F">
      <w:start w:val="1"/>
      <w:numFmt w:val="decimal"/>
      <w:lvlText w:val="%1."/>
      <w:lvlJc w:val="left"/>
      <w:pPr>
        <w:ind w:left="1440" w:hanging="360"/>
      </w:pPr>
    </w:lvl>
    <w:lvl w:ilvl="1" w:tplc="16C02FB4">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495202"/>
    <w:multiLevelType w:val="hybridMultilevel"/>
    <w:tmpl w:val="B2749EC0"/>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32" w15:restartNumberingAfterBreak="0">
    <w:nsid w:val="791F5A7D"/>
    <w:multiLevelType w:val="hybridMultilevel"/>
    <w:tmpl w:val="9D8EFBCC"/>
    <w:lvl w:ilvl="0" w:tplc="75E8A9B4">
      <w:start w:val="1"/>
      <w:numFmt w:val="decimal"/>
      <w:lvlText w:val="%1."/>
      <w:lvlJc w:val="left"/>
      <w:pPr>
        <w:ind w:left="1080" w:hanging="360"/>
      </w:pPr>
      <w:rPr>
        <w:rFonts w:hint="default"/>
      </w:rPr>
    </w:lvl>
    <w:lvl w:ilvl="1" w:tplc="4B56B28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2529276">
    <w:abstractNumId w:val="19"/>
  </w:num>
  <w:num w:numId="2" w16cid:durableId="1821385927">
    <w:abstractNumId w:val="4"/>
  </w:num>
  <w:num w:numId="3" w16cid:durableId="340741042">
    <w:abstractNumId w:val="7"/>
  </w:num>
  <w:num w:numId="4" w16cid:durableId="1217815253">
    <w:abstractNumId w:val="21"/>
  </w:num>
  <w:num w:numId="5" w16cid:durableId="1408767093">
    <w:abstractNumId w:val="22"/>
  </w:num>
  <w:num w:numId="6" w16cid:durableId="920718388">
    <w:abstractNumId w:val="25"/>
  </w:num>
  <w:num w:numId="7" w16cid:durableId="422800675">
    <w:abstractNumId w:val="1"/>
  </w:num>
  <w:num w:numId="8" w16cid:durableId="1412195621">
    <w:abstractNumId w:val="9"/>
  </w:num>
  <w:num w:numId="9" w16cid:durableId="120615386">
    <w:abstractNumId w:val="11"/>
  </w:num>
  <w:num w:numId="10" w16cid:durableId="1156069969">
    <w:abstractNumId w:val="32"/>
  </w:num>
  <w:num w:numId="11" w16cid:durableId="2006281165">
    <w:abstractNumId w:val="12"/>
  </w:num>
  <w:num w:numId="12" w16cid:durableId="1361590830">
    <w:abstractNumId w:val="17"/>
  </w:num>
  <w:num w:numId="13" w16cid:durableId="1143352883">
    <w:abstractNumId w:val="27"/>
  </w:num>
  <w:num w:numId="14" w16cid:durableId="1979066130">
    <w:abstractNumId w:val="15"/>
  </w:num>
  <w:num w:numId="15" w16cid:durableId="1174343246">
    <w:abstractNumId w:val="30"/>
  </w:num>
  <w:num w:numId="16" w16cid:durableId="405036020">
    <w:abstractNumId w:val="8"/>
  </w:num>
  <w:num w:numId="17" w16cid:durableId="2096393979">
    <w:abstractNumId w:val="14"/>
  </w:num>
  <w:num w:numId="18" w16cid:durableId="886188768">
    <w:abstractNumId w:val="0"/>
  </w:num>
  <w:num w:numId="19" w16cid:durableId="4751500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0567849">
    <w:abstractNumId w:val="2"/>
  </w:num>
  <w:num w:numId="21" w16cid:durableId="1018433723">
    <w:abstractNumId w:val="20"/>
  </w:num>
  <w:num w:numId="22" w16cid:durableId="325400617">
    <w:abstractNumId w:val="5"/>
  </w:num>
  <w:num w:numId="23" w16cid:durableId="768038268">
    <w:abstractNumId w:val="10"/>
  </w:num>
  <w:num w:numId="24" w16cid:durableId="2079401814">
    <w:abstractNumId w:val="18"/>
  </w:num>
  <w:num w:numId="25" w16cid:durableId="1151479990">
    <w:abstractNumId w:val="29"/>
  </w:num>
  <w:num w:numId="26" w16cid:durableId="1437629245">
    <w:abstractNumId w:val="23"/>
  </w:num>
  <w:num w:numId="27" w16cid:durableId="1162047787">
    <w:abstractNumId w:val="3"/>
  </w:num>
  <w:num w:numId="28" w16cid:durableId="1133673214">
    <w:abstractNumId w:val="24"/>
  </w:num>
  <w:num w:numId="29" w16cid:durableId="1257862535">
    <w:abstractNumId w:val="28"/>
  </w:num>
  <w:num w:numId="30" w16cid:durableId="879853434">
    <w:abstractNumId w:val="16"/>
  </w:num>
  <w:num w:numId="31" w16cid:durableId="479544405">
    <w:abstractNumId w:val="26"/>
  </w:num>
  <w:num w:numId="32" w16cid:durableId="1670405938">
    <w:abstractNumId w:val="13"/>
  </w:num>
  <w:num w:numId="33" w16cid:durableId="656349383">
    <w:abstractNumId w:val="6"/>
  </w:num>
  <w:num w:numId="34" w16cid:durableId="19767867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F1"/>
    <w:rsid w:val="00011E64"/>
    <w:rsid w:val="000227BA"/>
    <w:rsid w:val="00031C62"/>
    <w:rsid w:val="00032E58"/>
    <w:rsid w:val="00040917"/>
    <w:rsid w:val="00040D99"/>
    <w:rsid w:val="000525A5"/>
    <w:rsid w:val="000547EA"/>
    <w:rsid w:val="000653A9"/>
    <w:rsid w:val="0008013A"/>
    <w:rsid w:val="000836ED"/>
    <w:rsid w:val="00085F3B"/>
    <w:rsid w:val="00091671"/>
    <w:rsid w:val="00095F43"/>
    <w:rsid w:val="00097CA9"/>
    <w:rsid w:val="000B2933"/>
    <w:rsid w:val="000B65A1"/>
    <w:rsid w:val="000C3561"/>
    <w:rsid w:val="000C6872"/>
    <w:rsid w:val="000D2711"/>
    <w:rsid w:val="000E6C6A"/>
    <w:rsid w:val="000F06A8"/>
    <w:rsid w:val="000F695F"/>
    <w:rsid w:val="0010374D"/>
    <w:rsid w:val="00104E94"/>
    <w:rsid w:val="0011078B"/>
    <w:rsid w:val="00113382"/>
    <w:rsid w:val="00113D9F"/>
    <w:rsid w:val="00125B6D"/>
    <w:rsid w:val="0013627A"/>
    <w:rsid w:val="00156C0A"/>
    <w:rsid w:val="00165DF9"/>
    <w:rsid w:val="001710BE"/>
    <w:rsid w:val="0017492F"/>
    <w:rsid w:val="001759DF"/>
    <w:rsid w:val="00177A58"/>
    <w:rsid w:val="00180F1B"/>
    <w:rsid w:val="001856C4"/>
    <w:rsid w:val="001859B4"/>
    <w:rsid w:val="00185D4B"/>
    <w:rsid w:val="0018788B"/>
    <w:rsid w:val="001A297C"/>
    <w:rsid w:val="001B12DD"/>
    <w:rsid w:val="001B68DC"/>
    <w:rsid w:val="001C799B"/>
    <w:rsid w:val="001D3074"/>
    <w:rsid w:val="001D586B"/>
    <w:rsid w:val="001D69BF"/>
    <w:rsid w:val="001F1D99"/>
    <w:rsid w:val="001F2318"/>
    <w:rsid w:val="001F3815"/>
    <w:rsid w:val="001F4BCE"/>
    <w:rsid w:val="002005FC"/>
    <w:rsid w:val="002034AE"/>
    <w:rsid w:val="002038A3"/>
    <w:rsid w:val="00210B06"/>
    <w:rsid w:val="002114E1"/>
    <w:rsid w:val="0021272D"/>
    <w:rsid w:val="00214597"/>
    <w:rsid w:val="00214D35"/>
    <w:rsid w:val="00220A15"/>
    <w:rsid w:val="00235706"/>
    <w:rsid w:val="00240E14"/>
    <w:rsid w:val="00257F43"/>
    <w:rsid w:val="002608B2"/>
    <w:rsid w:val="00261822"/>
    <w:rsid w:val="00261CF5"/>
    <w:rsid w:val="00263405"/>
    <w:rsid w:val="00265ABD"/>
    <w:rsid w:val="00266F08"/>
    <w:rsid w:val="00267141"/>
    <w:rsid w:val="00277389"/>
    <w:rsid w:val="002874B3"/>
    <w:rsid w:val="002A7923"/>
    <w:rsid w:val="002C2E89"/>
    <w:rsid w:val="002C628E"/>
    <w:rsid w:val="002D1CD3"/>
    <w:rsid w:val="002D252A"/>
    <w:rsid w:val="002D3D7D"/>
    <w:rsid w:val="002E4AC2"/>
    <w:rsid w:val="002F060E"/>
    <w:rsid w:val="002F1B8C"/>
    <w:rsid w:val="00304160"/>
    <w:rsid w:val="003054CA"/>
    <w:rsid w:val="00313C32"/>
    <w:rsid w:val="0031453F"/>
    <w:rsid w:val="00330DE2"/>
    <w:rsid w:val="00336042"/>
    <w:rsid w:val="00337B44"/>
    <w:rsid w:val="00350F09"/>
    <w:rsid w:val="003603C2"/>
    <w:rsid w:val="00361119"/>
    <w:rsid w:val="00370398"/>
    <w:rsid w:val="003736DE"/>
    <w:rsid w:val="00374A31"/>
    <w:rsid w:val="00381CD4"/>
    <w:rsid w:val="00386342"/>
    <w:rsid w:val="00386DFD"/>
    <w:rsid w:val="003879B0"/>
    <w:rsid w:val="00395A96"/>
    <w:rsid w:val="003A02EC"/>
    <w:rsid w:val="003B74F2"/>
    <w:rsid w:val="003C54D4"/>
    <w:rsid w:val="003D09F5"/>
    <w:rsid w:val="003D2FFA"/>
    <w:rsid w:val="003D5EDB"/>
    <w:rsid w:val="003E0997"/>
    <w:rsid w:val="003F661F"/>
    <w:rsid w:val="00405277"/>
    <w:rsid w:val="0042321B"/>
    <w:rsid w:val="004242B5"/>
    <w:rsid w:val="00431030"/>
    <w:rsid w:val="00431506"/>
    <w:rsid w:val="0043384C"/>
    <w:rsid w:val="00442AFA"/>
    <w:rsid w:val="00451770"/>
    <w:rsid w:val="004523DF"/>
    <w:rsid w:val="00471D78"/>
    <w:rsid w:val="00473B1D"/>
    <w:rsid w:val="0047419F"/>
    <w:rsid w:val="00477175"/>
    <w:rsid w:val="00480484"/>
    <w:rsid w:val="00484369"/>
    <w:rsid w:val="00486D89"/>
    <w:rsid w:val="00487190"/>
    <w:rsid w:val="00491711"/>
    <w:rsid w:val="004B32B2"/>
    <w:rsid w:val="004B4C49"/>
    <w:rsid w:val="004C2F1B"/>
    <w:rsid w:val="004D2FA3"/>
    <w:rsid w:val="004D6689"/>
    <w:rsid w:val="004D7A55"/>
    <w:rsid w:val="004E18AE"/>
    <w:rsid w:val="004E30BE"/>
    <w:rsid w:val="004E6105"/>
    <w:rsid w:val="004E6758"/>
    <w:rsid w:val="004F300E"/>
    <w:rsid w:val="0050017C"/>
    <w:rsid w:val="00506083"/>
    <w:rsid w:val="00513418"/>
    <w:rsid w:val="00513459"/>
    <w:rsid w:val="005140B1"/>
    <w:rsid w:val="00522C71"/>
    <w:rsid w:val="00524860"/>
    <w:rsid w:val="00542004"/>
    <w:rsid w:val="00542778"/>
    <w:rsid w:val="005509E4"/>
    <w:rsid w:val="0055378A"/>
    <w:rsid w:val="00582BD2"/>
    <w:rsid w:val="0058410A"/>
    <w:rsid w:val="00584BFC"/>
    <w:rsid w:val="00585470"/>
    <w:rsid w:val="00590CFD"/>
    <w:rsid w:val="005924A7"/>
    <w:rsid w:val="005A164B"/>
    <w:rsid w:val="005A1D5B"/>
    <w:rsid w:val="005B1A7B"/>
    <w:rsid w:val="005C01B6"/>
    <w:rsid w:val="005C1146"/>
    <w:rsid w:val="005C5B59"/>
    <w:rsid w:val="005D032F"/>
    <w:rsid w:val="005D3398"/>
    <w:rsid w:val="005E0031"/>
    <w:rsid w:val="005E0CC3"/>
    <w:rsid w:val="005E538F"/>
    <w:rsid w:val="005E7649"/>
    <w:rsid w:val="0060567E"/>
    <w:rsid w:val="00611249"/>
    <w:rsid w:val="0061370B"/>
    <w:rsid w:val="00625AC8"/>
    <w:rsid w:val="00627FC2"/>
    <w:rsid w:val="006318AE"/>
    <w:rsid w:val="006338AD"/>
    <w:rsid w:val="00634B79"/>
    <w:rsid w:val="00635556"/>
    <w:rsid w:val="00635D43"/>
    <w:rsid w:val="00636499"/>
    <w:rsid w:val="00644E93"/>
    <w:rsid w:val="00645B28"/>
    <w:rsid w:val="006474BD"/>
    <w:rsid w:val="00647AC8"/>
    <w:rsid w:val="00667F61"/>
    <w:rsid w:val="00671CA2"/>
    <w:rsid w:val="00676330"/>
    <w:rsid w:val="00677342"/>
    <w:rsid w:val="00677549"/>
    <w:rsid w:val="00687A49"/>
    <w:rsid w:val="00690BEA"/>
    <w:rsid w:val="006931AA"/>
    <w:rsid w:val="006A50FC"/>
    <w:rsid w:val="006A5265"/>
    <w:rsid w:val="006B3B94"/>
    <w:rsid w:val="006B5161"/>
    <w:rsid w:val="006C063B"/>
    <w:rsid w:val="006C3D25"/>
    <w:rsid w:val="006C49FF"/>
    <w:rsid w:val="006C4FDF"/>
    <w:rsid w:val="006C51FE"/>
    <w:rsid w:val="006D0DDF"/>
    <w:rsid w:val="006D6D13"/>
    <w:rsid w:val="006D734D"/>
    <w:rsid w:val="006E3F6F"/>
    <w:rsid w:val="006E7D35"/>
    <w:rsid w:val="006E7F32"/>
    <w:rsid w:val="006F06F2"/>
    <w:rsid w:val="006F5725"/>
    <w:rsid w:val="006F6FC7"/>
    <w:rsid w:val="0070450F"/>
    <w:rsid w:val="00707011"/>
    <w:rsid w:val="00711979"/>
    <w:rsid w:val="00715C55"/>
    <w:rsid w:val="0071650C"/>
    <w:rsid w:val="0071722D"/>
    <w:rsid w:val="00725C1A"/>
    <w:rsid w:val="00727004"/>
    <w:rsid w:val="0073440C"/>
    <w:rsid w:val="00762F71"/>
    <w:rsid w:val="00764B8E"/>
    <w:rsid w:val="00781194"/>
    <w:rsid w:val="007909B5"/>
    <w:rsid w:val="007930A7"/>
    <w:rsid w:val="007A2AF6"/>
    <w:rsid w:val="007A4E64"/>
    <w:rsid w:val="007B3E9D"/>
    <w:rsid w:val="007C4A13"/>
    <w:rsid w:val="007C54B2"/>
    <w:rsid w:val="007D46CA"/>
    <w:rsid w:val="007D6EC7"/>
    <w:rsid w:val="007E2397"/>
    <w:rsid w:val="007F7A88"/>
    <w:rsid w:val="007F7C49"/>
    <w:rsid w:val="00803AF3"/>
    <w:rsid w:val="008158B8"/>
    <w:rsid w:val="00815C75"/>
    <w:rsid w:val="00820679"/>
    <w:rsid w:val="00825406"/>
    <w:rsid w:val="008314C8"/>
    <w:rsid w:val="00834403"/>
    <w:rsid w:val="00857A7C"/>
    <w:rsid w:val="00865091"/>
    <w:rsid w:val="00872C02"/>
    <w:rsid w:val="00876C34"/>
    <w:rsid w:val="008817AA"/>
    <w:rsid w:val="0088699D"/>
    <w:rsid w:val="008A630A"/>
    <w:rsid w:val="008B2BAE"/>
    <w:rsid w:val="008B336A"/>
    <w:rsid w:val="008B56F1"/>
    <w:rsid w:val="008C25F9"/>
    <w:rsid w:val="008E780B"/>
    <w:rsid w:val="008F5FD4"/>
    <w:rsid w:val="009079B1"/>
    <w:rsid w:val="00915120"/>
    <w:rsid w:val="009317A5"/>
    <w:rsid w:val="00932FAC"/>
    <w:rsid w:val="00935536"/>
    <w:rsid w:val="00936C9E"/>
    <w:rsid w:val="0093720B"/>
    <w:rsid w:val="00940865"/>
    <w:rsid w:val="00941662"/>
    <w:rsid w:val="009461CA"/>
    <w:rsid w:val="00950F36"/>
    <w:rsid w:val="009543A8"/>
    <w:rsid w:val="00955775"/>
    <w:rsid w:val="00957F85"/>
    <w:rsid w:val="00984DB5"/>
    <w:rsid w:val="0098617C"/>
    <w:rsid w:val="00992249"/>
    <w:rsid w:val="009A1A56"/>
    <w:rsid w:val="009A6501"/>
    <w:rsid w:val="009B7DD3"/>
    <w:rsid w:val="009C7A2A"/>
    <w:rsid w:val="009D48EA"/>
    <w:rsid w:val="009D7222"/>
    <w:rsid w:val="009F0BED"/>
    <w:rsid w:val="009F2378"/>
    <w:rsid w:val="009F4419"/>
    <w:rsid w:val="009F4D2F"/>
    <w:rsid w:val="009F74EE"/>
    <w:rsid w:val="009F75F8"/>
    <w:rsid w:val="00A020B5"/>
    <w:rsid w:val="00A02164"/>
    <w:rsid w:val="00A028E2"/>
    <w:rsid w:val="00A031AB"/>
    <w:rsid w:val="00A16244"/>
    <w:rsid w:val="00A42169"/>
    <w:rsid w:val="00A47C3F"/>
    <w:rsid w:val="00A603CF"/>
    <w:rsid w:val="00A62B57"/>
    <w:rsid w:val="00A66F7E"/>
    <w:rsid w:val="00A67ABB"/>
    <w:rsid w:val="00A87B83"/>
    <w:rsid w:val="00A9230B"/>
    <w:rsid w:val="00A92E34"/>
    <w:rsid w:val="00AA0513"/>
    <w:rsid w:val="00AA114E"/>
    <w:rsid w:val="00AA5E66"/>
    <w:rsid w:val="00AC2848"/>
    <w:rsid w:val="00AC43B5"/>
    <w:rsid w:val="00AC7F33"/>
    <w:rsid w:val="00AD63B4"/>
    <w:rsid w:val="00AD7054"/>
    <w:rsid w:val="00AF479A"/>
    <w:rsid w:val="00AF5C02"/>
    <w:rsid w:val="00B01438"/>
    <w:rsid w:val="00B10C58"/>
    <w:rsid w:val="00B12B7A"/>
    <w:rsid w:val="00B2050B"/>
    <w:rsid w:val="00B2496B"/>
    <w:rsid w:val="00B3789E"/>
    <w:rsid w:val="00B41C51"/>
    <w:rsid w:val="00B600D4"/>
    <w:rsid w:val="00B639EC"/>
    <w:rsid w:val="00B70CEE"/>
    <w:rsid w:val="00B75F1C"/>
    <w:rsid w:val="00B772C4"/>
    <w:rsid w:val="00B7772E"/>
    <w:rsid w:val="00B9605D"/>
    <w:rsid w:val="00B977DA"/>
    <w:rsid w:val="00BA0D82"/>
    <w:rsid w:val="00BA228C"/>
    <w:rsid w:val="00BA5A8D"/>
    <w:rsid w:val="00BB2DF1"/>
    <w:rsid w:val="00BB7ECE"/>
    <w:rsid w:val="00BC7A6F"/>
    <w:rsid w:val="00BD03C3"/>
    <w:rsid w:val="00BD2144"/>
    <w:rsid w:val="00BE715D"/>
    <w:rsid w:val="00BF01A2"/>
    <w:rsid w:val="00BF0DEC"/>
    <w:rsid w:val="00C002F1"/>
    <w:rsid w:val="00C0789E"/>
    <w:rsid w:val="00C1287A"/>
    <w:rsid w:val="00C12D01"/>
    <w:rsid w:val="00C14D6A"/>
    <w:rsid w:val="00C15A11"/>
    <w:rsid w:val="00C164CD"/>
    <w:rsid w:val="00C168E8"/>
    <w:rsid w:val="00C16FC5"/>
    <w:rsid w:val="00C21BC6"/>
    <w:rsid w:val="00C23BA1"/>
    <w:rsid w:val="00C26989"/>
    <w:rsid w:val="00C27894"/>
    <w:rsid w:val="00C302B0"/>
    <w:rsid w:val="00C31F7D"/>
    <w:rsid w:val="00C4348C"/>
    <w:rsid w:val="00C458DE"/>
    <w:rsid w:val="00C479AD"/>
    <w:rsid w:val="00C53FD1"/>
    <w:rsid w:val="00C57724"/>
    <w:rsid w:val="00C62910"/>
    <w:rsid w:val="00C637AD"/>
    <w:rsid w:val="00C85896"/>
    <w:rsid w:val="00C85AA9"/>
    <w:rsid w:val="00C936AF"/>
    <w:rsid w:val="00C93C50"/>
    <w:rsid w:val="00C97ADC"/>
    <w:rsid w:val="00CA22FC"/>
    <w:rsid w:val="00CA670A"/>
    <w:rsid w:val="00CC04D7"/>
    <w:rsid w:val="00CD11DF"/>
    <w:rsid w:val="00CD7C55"/>
    <w:rsid w:val="00CE324A"/>
    <w:rsid w:val="00CE3B1D"/>
    <w:rsid w:val="00CE48E8"/>
    <w:rsid w:val="00CE4EBC"/>
    <w:rsid w:val="00CE70D9"/>
    <w:rsid w:val="00CE781E"/>
    <w:rsid w:val="00CF0847"/>
    <w:rsid w:val="00CF5B2F"/>
    <w:rsid w:val="00D01613"/>
    <w:rsid w:val="00D05EE9"/>
    <w:rsid w:val="00D10506"/>
    <w:rsid w:val="00D21E10"/>
    <w:rsid w:val="00D43128"/>
    <w:rsid w:val="00D4379A"/>
    <w:rsid w:val="00D46F1B"/>
    <w:rsid w:val="00D521F0"/>
    <w:rsid w:val="00D60282"/>
    <w:rsid w:val="00D82D6D"/>
    <w:rsid w:val="00D86C74"/>
    <w:rsid w:val="00D93883"/>
    <w:rsid w:val="00D94A62"/>
    <w:rsid w:val="00DA0A68"/>
    <w:rsid w:val="00DA50FB"/>
    <w:rsid w:val="00DA78D4"/>
    <w:rsid w:val="00DB344C"/>
    <w:rsid w:val="00DC7544"/>
    <w:rsid w:val="00DC7EF6"/>
    <w:rsid w:val="00DD42E2"/>
    <w:rsid w:val="00DE556E"/>
    <w:rsid w:val="00DF1F7F"/>
    <w:rsid w:val="00DF3AF5"/>
    <w:rsid w:val="00E00544"/>
    <w:rsid w:val="00E5066F"/>
    <w:rsid w:val="00E54815"/>
    <w:rsid w:val="00E556BA"/>
    <w:rsid w:val="00E618AF"/>
    <w:rsid w:val="00E71F71"/>
    <w:rsid w:val="00E81717"/>
    <w:rsid w:val="00E86C63"/>
    <w:rsid w:val="00E93546"/>
    <w:rsid w:val="00E94045"/>
    <w:rsid w:val="00EA1A23"/>
    <w:rsid w:val="00EB405F"/>
    <w:rsid w:val="00EC2A84"/>
    <w:rsid w:val="00EC7579"/>
    <w:rsid w:val="00ED01A7"/>
    <w:rsid w:val="00ED54A4"/>
    <w:rsid w:val="00ED6BBA"/>
    <w:rsid w:val="00EE3D56"/>
    <w:rsid w:val="00EE7E09"/>
    <w:rsid w:val="00EF187F"/>
    <w:rsid w:val="00EF7085"/>
    <w:rsid w:val="00F054A6"/>
    <w:rsid w:val="00F061D7"/>
    <w:rsid w:val="00F1240F"/>
    <w:rsid w:val="00F14BF6"/>
    <w:rsid w:val="00F17F0B"/>
    <w:rsid w:val="00F263BC"/>
    <w:rsid w:val="00F3290E"/>
    <w:rsid w:val="00F352ED"/>
    <w:rsid w:val="00F4298C"/>
    <w:rsid w:val="00F42DEE"/>
    <w:rsid w:val="00F44280"/>
    <w:rsid w:val="00F52FA3"/>
    <w:rsid w:val="00F6318E"/>
    <w:rsid w:val="00F64F37"/>
    <w:rsid w:val="00F679A6"/>
    <w:rsid w:val="00F711C6"/>
    <w:rsid w:val="00F74CE5"/>
    <w:rsid w:val="00F8597C"/>
    <w:rsid w:val="00FA4457"/>
    <w:rsid w:val="00FA5770"/>
    <w:rsid w:val="00FB0942"/>
    <w:rsid w:val="00FB5172"/>
    <w:rsid w:val="00FB735F"/>
    <w:rsid w:val="00FC2980"/>
    <w:rsid w:val="00FC5DB5"/>
    <w:rsid w:val="00FD27AF"/>
    <w:rsid w:val="00FD6C62"/>
    <w:rsid w:val="00FE6129"/>
    <w:rsid w:val="00FF0922"/>
    <w:rsid w:val="00FF0AC3"/>
    <w:rsid w:val="00FF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AA1E9FE"/>
  <w15:docId w15:val="{B2A4C87F-0FCE-4BDE-AB9D-DBEBF18D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860"/>
    <w:rPr>
      <w:sz w:val="22"/>
      <w:szCs w:val="22"/>
    </w:rPr>
  </w:style>
  <w:style w:type="paragraph" w:styleId="Heading1">
    <w:name w:val="heading 1"/>
    <w:basedOn w:val="Normal"/>
    <w:next w:val="Normal"/>
    <w:qFormat/>
    <w:rsid w:val="00524860"/>
    <w:pPr>
      <w:keepNext/>
      <w:keepLines/>
      <w:tabs>
        <w:tab w:val="left" w:pos="1440"/>
      </w:tabs>
      <w:spacing w:before="480"/>
      <w:outlineLvl w:val="0"/>
    </w:pPr>
    <w:rPr>
      <w:b/>
      <w:bCs/>
      <w:sz w:val="24"/>
      <w:szCs w:val="28"/>
    </w:rPr>
  </w:style>
  <w:style w:type="paragraph" w:styleId="Heading2">
    <w:name w:val="heading 2"/>
    <w:basedOn w:val="Normal"/>
    <w:next w:val="Normal"/>
    <w:qFormat/>
    <w:rsid w:val="00524860"/>
    <w:pPr>
      <w:keepNext/>
      <w:spacing w:before="240" w:after="60"/>
      <w:outlineLvl w:val="1"/>
    </w:pPr>
    <w:rPr>
      <w:b/>
      <w:bCs/>
      <w:i/>
      <w:iCs/>
      <w:sz w:val="28"/>
      <w:szCs w:val="28"/>
    </w:rPr>
  </w:style>
  <w:style w:type="paragraph" w:styleId="Heading3">
    <w:name w:val="heading 3"/>
    <w:basedOn w:val="Normal"/>
    <w:next w:val="Normal"/>
    <w:qFormat/>
    <w:rsid w:val="00524860"/>
    <w:pPr>
      <w:keepNext/>
      <w:spacing w:before="240" w:after="60"/>
      <w:outlineLvl w:val="2"/>
    </w:pPr>
    <w:rPr>
      <w:b/>
      <w:bCs/>
      <w:sz w:val="26"/>
      <w:szCs w:val="26"/>
    </w:rPr>
  </w:style>
  <w:style w:type="paragraph" w:styleId="Heading4">
    <w:name w:val="heading 4"/>
    <w:basedOn w:val="Normal"/>
    <w:next w:val="Normal"/>
    <w:qFormat/>
    <w:rsid w:val="00524860"/>
    <w:pPr>
      <w:keepNext/>
      <w:widowControl w:val="0"/>
      <w:spacing w:before="240" w:after="60"/>
      <w:outlineLvl w:val="3"/>
    </w:pPr>
    <w:rPr>
      <w:rFonts w:ascii="Calibri" w:hAnsi="Calibri" w:cs="Calibri"/>
      <w:b/>
      <w:bCs/>
      <w:sz w:val="28"/>
      <w:szCs w:val="28"/>
    </w:rPr>
  </w:style>
  <w:style w:type="paragraph" w:styleId="Heading5">
    <w:name w:val="heading 5"/>
    <w:basedOn w:val="Normal"/>
    <w:next w:val="Normal"/>
    <w:qFormat/>
    <w:rsid w:val="00524860"/>
    <w:pPr>
      <w:keepNext/>
      <w:jc w:val="center"/>
      <w:outlineLvl w:val="4"/>
    </w:pPr>
    <w:rPr>
      <w:sz w:val="36"/>
      <w:szCs w:val="72"/>
    </w:rPr>
  </w:style>
  <w:style w:type="paragraph" w:styleId="Heading6">
    <w:name w:val="heading 6"/>
    <w:basedOn w:val="Normal"/>
    <w:next w:val="Normal"/>
    <w:qFormat/>
    <w:rsid w:val="00524860"/>
    <w:pPr>
      <w:keepNext/>
      <w:jc w:val="center"/>
      <w:outlineLvl w:val="5"/>
    </w:pPr>
    <w:rPr>
      <w:sz w:val="56"/>
      <w:szCs w:val="72"/>
    </w:rPr>
  </w:style>
  <w:style w:type="paragraph" w:styleId="Heading7">
    <w:name w:val="heading 7"/>
    <w:basedOn w:val="Normal"/>
    <w:next w:val="Normal"/>
    <w:qFormat/>
    <w:rsid w:val="00524860"/>
    <w:pPr>
      <w:keepNext/>
      <w:jc w:val="center"/>
      <w:outlineLvl w:val="6"/>
    </w:pPr>
    <w:rPr>
      <w:sz w:val="40"/>
      <w:szCs w:val="56"/>
      <w:lang w:val="fr-FR"/>
    </w:rPr>
  </w:style>
  <w:style w:type="paragraph" w:styleId="Heading8">
    <w:name w:val="heading 8"/>
    <w:basedOn w:val="Normal"/>
    <w:next w:val="Normal"/>
    <w:qFormat/>
    <w:rsid w:val="00524860"/>
    <w:pPr>
      <w:keepNext/>
      <w:jc w:val="center"/>
      <w:outlineLvl w:val="7"/>
    </w:pPr>
    <w:rPr>
      <w:b/>
      <w:bCs/>
      <w:sz w:val="40"/>
    </w:rPr>
  </w:style>
  <w:style w:type="paragraph" w:styleId="Heading9">
    <w:name w:val="heading 9"/>
    <w:basedOn w:val="Normal"/>
    <w:next w:val="Normal"/>
    <w:qFormat/>
    <w:rsid w:val="00524860"/>
    <w:pPr>
      <w:keepNext/>
      <w:ind w:left="720" w:righ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unhideWhenUsed/>
    <w:rsid w:val="00524860"/>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unhideWhenUsed/>
    <w:rsid w:val="00524860"/>
    <w:rPr>
      <w:rFonts w:ascii="Arial" w:hAnsi="Arial"/>
      <w:sz w:val="20"/>
      <w:szCs w:val="20"/>
    </w:rPr>
  </w:style>
  <w:style w:type="character" w:customStyle="1" w:styleId="Heading1Char">
    <w:name w:val="Heading 1 Char"/>
    <w:rsid w:val="00524860"/>
    <w:rPr>
      <w:rFonts w:ascii="Times New Roman" w:eastAsia="Times New Roman" w:hAnsi="Times New Roman" w:cs="Times New Roman"/>
      <w:b/>
      <w:bCs/>
      <w:sz w:val="24"/>
      <w:szCs w:val="28"/>
    </w:rPr>
  </w:style>
  <w:style w:type="paragraph" w:styleId="ListParagraph">
    <w:name w:val="List Paragraph"/>
    <w:basedOn w:val="Normal"/>
    <w:uiPriority w:val="34"/>
    <w:qFormat/>
    <w:rsid w:val="00524860"/>
    <w:pPr>
      <w:ind w:left="720"/>
      <w:contextualSpacing/>
    </w:pPr>
  </w:style>
  <w:style w:type="character" w:customStyle="1" w:styleId="Heading2Char">
    <w:name w:val="Heading 2 Char"/>
    <w:semiHidden/>
    <w:rsid w:val="00524860"/>
    <w:rPr>
      <w:rFonts w:ascii="Times New Roman" w:eastAsia="Times New Roman" w:hAnsi="Times New Roman" w:cs="Times New Roman"/>
      <w:b/>
      <w:bCs/>
      <w:i/>
      <w:iCs/>
      <w:sz w:val="28"/>
      <w:szCs w:val="28"/>
    </w:rPr>
  </w:style>
  <w:style w:type="character" w:customStyle="1" w:styleId="Heading3Char">
    <w:name w:val="Heading 3 Char"/>
    <w:semiHidden/>
    <w:rsid w:val="00524860"/>
    <w:rPr>
      <w:rFonts w:ascii="Times New Roman" w:eastAsia="Times New Roman" w:hAnsi="Times New Roman" w:cs="Times New Roman"/>
      <w:b/>
      <w:bCs/>
      <w:sz w:val="26"/>
      <w:szCs w:val="26"/>
    </w:rPr>
  </w:style>
  <w:style w:type="paragraph" w:styleId="TOC1">
    <w:name w:val="toc 1"/>
    <w:basedOn w:val="Normal"/>
    <w:next w:val="Normal"/>
    <w:autoRedefine/>
    <w:uiPriority w:val="39"/>
    <w:unhideWhenUsed/>
    <w:rsid w:val="00C0789E"/>
    <w:pPr>
      <w:tabs>
        <w:tab w:val="left" w:pos="900"/>
        <w:tab w:val="right" w:leader="dot" w:pos="9350"/>
      </w:tabs>
    </w:pPr>
  </w:style>
  <w:style w:type="character" w:styleId="Hyperlink">
    <w:name w:val="Hyperlink"/>
    <w:uiPriority w:val="99"/>
    <w:unhideWhenUsed/>
    <w:rsid w:val="00524860"/>
    <w:rPr>
      <w:color w:val="5F5F5F"/>
      <w:u w:val="single"/>
    </w:rPr>
  </w:style>
  <w:style w:type="paragraph" w:styleId="Header">
    <w:name w:val="header"/>
    <w:aliases w:val=" Char,Char"/>
    <w:basedOn w:val="Normal"/>
    <w:unhideWhenUsed/>
    <w:rsid w:val="00524860"/>
    <w:pPr>
      <w:tabs>
        <w:tab w:val="center" w:pos="4680"/>
        <w:tab w:val="right" w:pos="9360"/>
      </w:tabs>
    </w:pPr>
  </w:style>
  <w:style w:type="character" w:customStyle="1" w:styleId="HeaderChar">
    <w:name w:val="Header Char"/>
    <w:aliases w:val=" Char Char,Char Char"/>
    <w:uiPriority w:val="99"/>
    <w:rsid w:val="00524860"/>
    <w:rPr>
      <w:sz w:val="22"/>
      <w:szCs w:val="22"/>
    </w:rPr>
  </w:style>
  <w:style w:type="paragraph" w:styleId="Footer">
    <w:name w:val="footer"/>
    <w:basedOn w:val="Normal"/>
    <w:uiPriority w:val="99"/>
    <w:unhideWhenUsed/>
    <w:rsid w:val="00524860"/>
    <w:pPr>
      <w:tabs>
        <w:tab w:val="center" w:pos="4680"/>
        <w:tab w:val="right" w:pos="9360"/>
      </w:tabs>
    </w:pPr>
  </w:style>
  <w:style w:type="character" w:customStyle="1" w:styleId="FooterChar">
    <w:name w:val="Footer Char"/>
    <w:uiPriority w:val="99"/>
    <w:rsid w:val="00524860"/>
    <w:rPr>
      <w:sz w:val="22"/>
      <w:szCs w:val="22"/>
    </w:rPr>
  </w:style>
  <w:style w:type="character" w:customStyle="1" w:styleId="Heading4Char">
    <w:name w:val="Heading 4 Char"/>
    <w:rsid w:val="00524860"/>
    <w:rPr>
      <w:rFonts w:ascii="Calibri" w:eastAsia="Times New Roman" w:hAnsi="Calibri" w:cs="Calibri"/>
      <w:b/>
      <w:bCs/>
      <w:sz w:val="28"/>
      <w:szCs w:val="28"/>
    </w:rPr>
  </w:style>
  <w:style w:type="paragraph" w:styleId="CommentText">
    <w:name w:val="annotation text"/>
    <w:basedOn w:val="Normal"/>
    <w:link w:val="CommentTextChar1"/>
    <w:uiPriority w:val="99"/>
    <w:rsid w:val="00524860"/>
    <w:pPr>
      <w:widowControl w:val="0"/>
    </w:pPr>
    <w:rPr>
      <w:sz w:val="20"/>
      <w:szCs w:val="20"/>
    </w:rPr>
  </w:style>
  <w:style w:type="character" w:customStyle="1" w:styleId="CommentTextChar">
    <w:name w:val="Comment Text Char"/>
    <w:uiPriority w:val="99"/>
    <w:rsid w:val="00524860"/>
    <w:rPr>
      <w:rFonts w:eastAsia="Times New Roman"/>
    </w:rPr>
  </w:style>
  <w:style w:type="paragraph" w:styleId="BodyText2">
    <w:name w:val="Body Text 2"/>
    <w:basedOn w:val="Normal"/>
    <w:semiHidden/>
    <w:rsid w:val="00524860"/>
    <w:pPr>
      <w:widowControl w:val="0"/>
      <w:jc w:val="both"/>
    </w:pPr>
    <w:rPr>
      <w:sz w:val="20"/>
      <w:szCs w:val="20"/>
    </w:rPr>
  </w:style>
  <w:style w:type="character" w:customStyle="1" w:styleId="BodyText2Char">
    <w:name w:val="Body Text 2 Char"/>
    <w:rsid w:val="00524860"/>
    <w:rPr>
      <w:rFonts w:eastAsia="Times New Roman"/>
    </w:rPr>
  </w:style>
  <w:style w:type="paragraph" w:styleId="BodyText">
    <w:name w:val="Body Text"/>
    <w:basedOn w:val="Normal"/>
    <w:uiPriority w:val="99"/>
    <w:unhideWhenUsed/>
    <w:rsid w:val="00524860"/>
    <w:pPr>
      <w:spacing w:after="120"/>
    </w:pPr>
  </w:style>
  <w:style w:type="character" w:customStyle="1" w:styleId="BodyTextChar">
    <w:name w:val="Body Text Char"/>
    <w:uiPriority w:val="99"/>
    <w:rsid w:val="00524860"/>
    <w:rPr>
      <w:sz w:val="22"/>
      <w:szCs w:val="22"/>
    </w:rPr>
  </w:style>
  <w:style w:type="character" w:customStyle="1" w:styleId="tutorialsmainbody1">
    <w:name w:val="tutorials_mainbody1"/>
    <w:rsid w:val="00524860"/>
    <w:rPr>
      <w:rFonts w:ascii="Arial" w:hAnsi="Arial" w:cs="Arial" w:hint="default"/>
      <w:i w:val="0"/>
      <w:iCs w:val="0"/>
      <w:sz w:val="16"/>
      <w:szCs w:val="16"/>
    </w:rPr>
  </w:style>
  <w:style w:type="paragraph" w:styleId="BlockText">
    <w:name w:val="Block Text"/>
    <w:basedOn w:val="Normal"/>
    <w:semiHidden/>
    <w:rsid w:val="00524860"/>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s>
      <w:spacing w:line="226" w:lineRule="auto"/>
      <w:ind w:left="284" w:right="284"/>
      <w:jc w:val="both"/>
    </w:pPr>
    <w:rPr>
      <w:sz w:val="18"/>
      <w:szCs w:val="20"/>
    </w:rPr>
  </w:style>
  <w:style w:type="paragraph" w:styleId="TOCHeading">
    <w:name w:val="TOC Heading"/>
    <w:basedOn w:val="Heading1"/>
    <w:next w:val="Normal"/>
    <w:qFormat/>
    <w:rsid w:val="00524860"/>
    <w:pPr>
      <w:tabs>
        <w:tab w:val="clear" w:pos="1440"/>
      </w:tabs>
      <w:spacing w:line="276" w:lineRule="auto"/>
      <w:outlineLvl w:val="9"/>
    </w:pPr>
    <w:rPr>
      <w:rFonts w:ascii="Cambria" w:hAnsi="Cambria"/>
      <w:color w:val="365F91"/>
      <w:sz w:val="28"/>
    </w:rPr>
  </w:style>
  <w:style w:type="character" w:customStyle="1" w:styleId="DeltaViewInsertion">
    <w:name w:val="DeltaView Insertion"/>
    <w:rsid w:val="00524860"/>
    <w:rPr>
      <w:color w:val="0000FF"/>
      <w:spacing w:val="0"/>
      <w:u w:val="double"/>
    </w:rPr>
  </w:style>
  <w:style w:type="character" w:customStyle="1" w:styleId="DeltaViewMoveDestination">
    <w:name w:val="DeltaView Move Destination"/>
    <w:rsid w:val="00524860"/>
    <w:rPr>
      <w:color w:val="auto"/>
      <w:spacing w:val="0"/>
      <w:u w:val="double"/>
    </w:rPr>
  </w:style>
  <w:style w:type="paragraph" w:styleId="BalloonText">
    <w:name w:val="Balloon Text"/>
    <w:basedOn w:val="Normal"/>
    <w:semiHidden/>
    <w:unhideWhenUsed/>
    <w:rsid w:val="00524860"/>
    <w:rPr>
      <w:rFonts w:ascii="Tahoma" w:hAnsi="Tahoma" w:cs="Tahoma"/>
      <w:sz w:val="16"/>
      <w:szCs w:val="16"/>
    </w:rPr>
  </w:style>
  <w:style w:type="character" w:customStyle="1" w:styleId="BalloonTextChar">
    <w:name w:val="Balloon Text Char"/>
    <w:semiHidden/>
    <w:rsid w:val="00524860"/>
    <w:rPr>
      <w:rFonts w:ascii="Tahoma" w:hAnsi="Tahoma" w:cs="Tahoma"/>
      <w:sz w:val="16"/>
      <w:szCs w:val="16"/>
    </w:rPr>
  </w:style>
  <w:style w:type="paragraph" w:styleId="TOC6">
    <w:name w:val="toc 6"/>
    <w:basedOn w:val="Normal"/>
    <w:next w:val="Normal"/>
    <w:autoRedefine/>
    <w:semiHidden/>
    <w:unhideWhenUsed/>
    <w:rsid w:val="00524860"/>
    <w:pPr>
      <w:ind w:left="1100"/>
    </w:pPr>
  </w:style>
  <w:style w:type="paragraph" w:styleId="TOC5">
    <w:name w:val="toc 5"/>
    <w:basedOn w:val="Normal"/>
    <w:next w:val="Normal"/>
    <w:autoRedefine/>
    <w:semiHidden/>
    <w:unhideWhenUsed/>
    <w:rsid w:val="00524860"/>
    <w:pPr>
      <w:ind w:left="880"/>
    </w:pPr>
  </w:style>
  <w:style w:type="paragraph" w:styleId="TOC8">
    <w:name w:val="toc 8"/>
    <w:basedOn w:val="Normal"/>
    <w:next w:val="Normal"/>
    <w:autoRedefine/>
    <w:semiHidden/>
    <w:unhideWhenUsed/>
    <w:rsid w:val="00524860"/>
    <w:pPr>
      <w:ind w:left="1540"/>
    </w:pPr>
  </w:style>
  <w:style w:type="paragraph" w:styleId="TOC7">
    <w:name w:val="toc 7"/>
    <w:basedOn w:val="Normal"/>
    <w:next w:val="Normal"/>
    <w:autoRedefine/>
    <w:semiHidden/>
    <w:unhideWhenUsed/>
    <w:rsid w:val="00524860"/>
    <w:pPr>
      <w:ind w:left="1320"/>
    </w:pPr>
  </w:style>
  <w:style w:type="paragraph" w:styleId="TOC9">
    <w:name w:val="toc 9"/>
    <w:basedOn w:val="Normal"/>
    <w:next w:val="Normal"/>
    <w:autoRedefine/>
    <w:semiHidden/>
    <w:unhideWhenUsed/>
    <w:rsid w:val="00524860"/>
    <w:pPr>
      <w:ind w:left="1760"/>
    </w:pPr>
  </w:style>
  <w:style w:type="paragraph" w:styleId="TOC2">
    <w:name w:val="toc 2"/>
    <w:basedOn w:val="Normal"/>
    <w:next w:val="Normal"/>
    <w:autoRedefine/>
    <w:semiHidden/>
    <w:unhideWhenUsed/>
    <w:rsid w:val="00524860"/>
    <w:pPr>
      <w:ind w:left="220"/>
    </w:pPr>
  </w:style>
  <w:style w:type="paragraph" w:customStyle="1" w:styleId="ADVnormal">
    <w:name w:val="ADV normal"/>
    <w:basedOn w:val="Normal"/>
    <w:uiPriority w:val="99"/>
    <w:rsid w:val="008314C8"/>
    <w:pPr>
      <w:spacing w:after="60"/>
      <w:jc w:val="both"/>
    </w:pPr>
    <w:rPr>
      <w:sz w:val="18"/>
      <w:szCs w:val="18"/>
    </w:rPr>
  </w:style>
  <w:style w:type="character" w:styleId="Strong">
    <w:name w:val="Strong"/>
    <w:basedOn w:val="DefaultParagraphFont"/>
    <w:qFormat/>
    <w:rsid w:val="00AA0513"/>
    <w:rPr>
      <w:b/>
      <w:bCs/>
    </w:rPr>
  </w:style>
  <w:style w:type="paragraph" w:customStyle="1" w:styleId="StarkText">
    <w:name w:val="Stark Text"/>
    <w:uiPriority w:val="99"/>
    <w:rsid w:val="002038A3"/>
    <w:pPr>
      <w:jc w:val="both"/>
    </w:pPr>
    <w:rPr>
      <w:sz w:val="24"/>
      <w:szCs w:val="24"/>
    </w:rPr>
  </w:style>
  <w:style w:type="paragraph" w:styleId="BodyTextIndent2">
    <w:name w:val="Body Text Indent 2"/>
    <w:basedOn w:val="Normal"/>
    <w:link w:val="BodyTextIndent2Char"/>
    <w:uiPriority w:val="99"/>
    <w:semiHidden/>
    <w:unhideWhenUsed/>
    <w:rsid w:val="000D2711"/>
    <w:pPr>
      <w:spacing w:after="120" w:line="480" w:lineRule="auto"/>
      <w:ind w:left="360"/>
    </w:pPr>
  </w:style>
  <w:style w:type="character" w:customStyle="1" w:styleId="BodyTextIndent2Char">
    <w:name w:val="Body Text Indent 2 Char"/>
    <w:basedOn w:val="DefaultParagraphFont"/>
    <w:link w:val="BodyTextIndent2"/>
    <w:uiPriority w:val="99"/>
    <w:semiHidden/>
    <w:rsid w:val="000D2711"/>
    <w:rPr>
      <w:sz w:val="22"/>
      <w:szCs w:val="22"/>
    </w:rPr>
  </w:style>
  <w:style w:type="paragraph" w:styleId="Revision">
    <w:name w:val="Revision"/>
    <w:hidden/>
    <w:uiPriority w:val="99"/>
    <w:semiHidden/>
    <w:rsid w:val="00C27894"/>
    <w:rPr>
      <w:sz w:val="22"/>
      <w:szCs w:val="22"/>
    </w:rPr>
  </w:style>
  <w:style w:type="character" w:styleId="CommentReference">
    <w:name w:val="annotation reference"/>
    <w:basedOn w:val="DefaultParagraphFont"/>
    <w:uiPriority w:val="99"/>
    <w:semiHidden/>
    <w:unhideWhenUsed/>
    <w:rsid w:val="006C51FE"/>
    <w:rPr>
      <w:sz w:val="16"/>
      <w:szCs w:val="16"/>
    </w:rPr>
  </w:style>
  <w:style w:type="paragraph" w:styleId="CommentSubject">
    <w:name w:val="annotation subject"/>
    <w:basedOn w:val="CommentText"/>
    <w:next w:val="CommentText"/>
    <w:link w:val="CommentSubjectChar"/>
    <w:uiPriority w:val="99"/>
    <w:semiHidden/>
    <w:unhideWhenUsed/>
    <w:rsid w:val="006C51FE"/>
    <w:pPr>
      <w:widowControl/>
    </w:pPr>
    <w:rPr>
      <w:b/>
      <w:bCs/>
    </w:rPr>
  </w:style>
  <w:style w:type="character" w:customStyle="1" w:styleId="CommentTextChar1">
    <w:name w:val="Comment Text Char1"/>
    <w:basedOn w:val="DefaultParagraphFont"/>
    <w:link w:val="CommentText"/>
    <w:uiPriority w:val="99"/>
    <w:rsid w:val="006C51FE"/>
  </w:style>
  <w:style w:type="character" w:customStyle="1" w:styleId="CommentSubjectChar">
    <w:name w:val="Comment Subject Char"/>
    <w:basedOn w:val="CommentTextChar1"/>
    <w:link w:val="CommentSubject"/>
    <w:uiPriority w:val="99"/>
    <w:semiHidden/>
    <w:rsid w:val="006C51FE"/>
    <w:rPr>
      <w:b/>
      <w:bCs/>
    </w:rPr>
  </w:style>
  <w:style w:type="character" w:styleId="Emphasis">
    <w:name w:val="Emphasis"/>
    <w:uiPriority w:val="20"/>
    <w:qFormat/>
    <w:rsid w:val="00BF0DEC"/>
    <w:rPr>
      <w:i/>
      <w:iCs/>
    </w:rPr>
  </w:style>
  <w:style w:type="character" w:styleId="UnresolvedMention">
    <w:name w:val="Unresolved Mention"/>
    <w:basedOn w:val="DefaultParagraphFont"/>
    <w:uiPriority w:val="99"/>
    <w:semiHidden/>
    <w:unhideWhenUsed/>
    <w:rsid w:val="008E780B"/>
    <w:rPr>
      <w:color w:val="605E5C"/>
      <w:shd w:val="clear" w:color="auto" w:fill="E1DFDD"/>
    </w:rPr>
  </w:style>
  <w:style w:type="paragraph" w:styleId="BodyText3">
    <w:name w:val="Body Text 3"/>
    <w:basedOn w:val="Normal"/>
    <w:link w:val="BodyText3Char"/>
    <w:uiPriority w:val="99"/>
    <w:semiHidden/>
    <w:unhideWhenUsed/>
    <w:rsid w:val="00AC2848"/>
    <w:pPr>
      <w:spacing w:after="120"/>
    </w:pPr>
    <w:rPr>
      <w:sz w:val="16"/>
      <w:szCs w:val="16"/>
    </w:rPr>
  </w:style>
  <w:style w:type="character" w:customStyle="1" w:styleId="BodyText3Char">
    <w:name w:val="Body Text 3 Char"/>
    <w:basedOn w:val="DefaultParagraphFont"/>
    <w:link w:val="BodyText3"/>
    <w:uiPriority w:val="99"/>
    <w:semiHidden/>
    <w:rsid w:val="00AC28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37058">
      <w:bodyDiv w:val="1"/>
      <w:marLeft w:val="0"/>
      <w:marRight w:val="0"/>
      <w:marTop w:val="0"/>
      <w:marBottom w:val="0"/>
      <w:divBdr>
        <w:top w:val="none" w:sz="0" w:space="0" w:color="auto"/>
        <w:left w:val="none" w:sz="0" w:space="0" w:color="auto"/>
        <w:bottom w:val="none" w:sz="0" w:space="0" w:color="auto"/>
        <w:right w:val="none" w:sz="0" w:space="0" w:color="auto"/>
      </w:divBdr>
    </w:div>
    <w:div w:id="8617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newmandigna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24d698c-a3a9-4e52-9d35-96edcb162654}" enabled="0" method="" siteId="{a24d698c-a3a9-4e52-9d35-96edcb162654}" removed="1"/>
</clbl:labelList>
</file>

<file path=docProps/app.xml><?xml version="1.0" encoding="utf-8"?>
<Properties xmlns="http://schemas.openxmlformats.org/officeDocument/2006/extended-properties" xmlns:vt="http://schemas.openxmlformats.org/officeDocument/2006/docPropsVTypes">
  <Template>Normal</Template>
  <TotalTime>3</TotalTime>
  <Pages>23</Pages>
  <Words>11568</Words>
  <Characters>65943</Characters>
  <Application>Microsoft Office Word</Application>
  <DocSecurity>4</DocSecurity>
  <Lines>549</Lines>
  <Paragraphs>154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Carlson</dc:creator>
  <cp:lastModifiedBy>Dawn Carlson</cp:lastModifiedBy>
  <cp:revision>2</cp:revision>
  <cp:lastPrinted>1900-01-01T05:00:00Z</cp:lastPrinted>
  <dcterms:created xsi:type="dcterms:W3CDTF">2024-04-16T19:09:00Z</dcterms:created>
  <dcterms:modified xsi:type="dcterms:W3CDTF">2024-04-16T19:09:00Z</dcterms:modified>
</cp:coreProperties>
</file>